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ACB" w:rsidRDefault="004C0A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America goes to war against ISIL in Syria – An alliance of convenience or prelude to regime change?</w:t>
      </w:r>
    </w:p>
    <w:p w:rsidR="004C0ACB" w:rsidRDefault="004C0AC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Catherine Shakdam, MEMO   -    Sept 14, 2014</w:t>
      </w:r>
    </w:p>
    <w:p w:rsidR="004C0ACB" w:rsidRDefault="004C0ACB">
      <w:pPr>
        <w:widowControl w:val="0"/>
        <w:autoSpaceDE w:val="0"/>
        <w:autoSpaceDN w:val="0"/>
        <w:adjustRightInd w:val="0"/>
        <w:spacing w:after="0" w:line="240" w:lineRule="auto"/>
        <w:rPr>
          <w:rFonts w:ascii="Arial" w:hAnsi="Arial" w:cs="Arial"/>
          <w:sz w:val="12"/>
          <w:szCs w:val="12"/>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Airstrikes in Syria could prove counter-productive to Obama's efforts against the Syrian regime; unless of course such attacks will not be limited to ISIL's hideouts.</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Or could it be that three years after the US branded President Al Assad a tyrant, effectively calling for his demise; the danger represented by ISIL will force self-declared enemies into natural allies?    . . .   US support arguably contributed to the strengthening of terror radical cells in the region and not as planned, to the fall of President Al Assad. If anything the anti-Assad campaign   . . .    generated sectarian and social fractures   . . .   Washington's campaign in Syria completely missed its marks. Many have actually argued that it was precisely Obama's blunder in Syria which gave rise to ISIL.   . . .    Washington' Syrian strategy backfired in the most spectacular and destructive manner possible, US officials were forced to rethink their strategy and opt for an alternative path.   . . .</w:t>
      </w:r>
    </w:p>
    <w:p w:rsidR="004C0ACB" w:rsidRDefault="004C0ACB">
      <w:pPr>
        <w:widowControl w:val="0"/>
        <w:autoSpaceDE w:val="0"/>
        <w:autoSpaceDN w:val="0"/>
        <w:adjustRightInd w:val="0"/>
        <w:spacing w:after="0" w:line="240" w:lineRule="auto"/>
        <w:rPr>
          <w:rFonts w:ascii="Arial" w:hAnsi="Arial" w:cs="Arial"/>
          <w:sz w:val="16"/>
          <w:szCs w:val="16"/>
        </w:rPr>
      </w:pPr>
    </w:p>
    <w:p w:rsidR="004C0ACB" w:rsidRDefault="004C0ACB">
      <w:pPr>
        <w:widowControl w:val="0"/>
        <w:autoSpaceDE w:val="0"/>
        <w:autoSpaceDN w:val="0"/>
        <w:adjustRightInd w:val="0"/>
        <w:spacing w:after="0" w:line="240" w:lineRule="auto"/>
        <w:rPr>
          <w:rFonts w:ascii="Arial" w:hAnsi="Arial" w:cs="Arial"/>
          <w:sz w:val="16"/>
          <w:szCs w:val="16"/>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Back in August, Leslie Gelb, the former president of the Council on Foreign Relations made the case of an alliance with Damascus  . . .   Max Abrahms, a Northeastern University professor and terrorism analyst   . . .   concurred    . . .   "I think there may be an opportunity for the US to work with Assad against ISIL."</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Dr Haytham Mouzahem, Director of the Beirut Center for Middle Eastern Studies quoted, "As Winston Churchill said during World War II: "If Hitler invaded hell, I would make at least a favorable reference to the devil in the House of Commons"   . . .    </w:t>
      </w:r>
    </w:p>
    <w:p w:rsidR="004C0ACB" w:rsidRDefault="004C0ACB">
      <w:pPr>
        <w:widowControl w:val="0"/>
        <w:autoSpaceDE w:val="0"/>
        <w:autoSpaceDN w:val="0"/>
        <w:adjustRightInd w:val="0"/>
        <w:spacing w:after="0" w:line="240" w:lineRule="auto"/>
        <w:rPr>
          <w:rFonts w:ascii="Arial" w:hAnsi="Arial" w:cs="Arial"/>
          <w:sz w:val="16"/>
          <w:szCs w:val="16"/>
        </w:rPr>
      </w:pPr>
    </w:p>
    <w:p w:rsidR="004C0ACB" w:rsidRDefault="004C0ACB">
      <w:pPr>
        <w:widowControl w:val="0"/>
        <w:autoSpaceDE w:val="0"/>
        <w:autoSpaceDN w:val="0"/>
        <w:adjustRightInd w:val="0"/>
        <w:spacing w:after="0" w:line="240" w:lineRule="auto"/>
        <w:rPr>
          <w:rFonts w:ascii="Arial" w:hAnsi="Arial" w:cs="Arial"/>
          <w:sz w:val="16"/>
          <w:szCs w:val="16"/>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America's desire to by-pass international law and disregard Syria' national sovereignty   . . .   Speaking to RT on Friday, retired US Air Force Lieutenant Colonel, Karen Kwiatkowski explained that Washington's lone ranger callous attitude toward international law would only sow confusion and fan anti-US sentiment in the region. "Mr Obama wishes to continue the type of strategy which did not work in Iraq and Afghanistan," she noted.</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Reading [between] the lines of President Obama' speech, Iran understood Washington's new Syrian anti-terror campaign as a covert mean to oust President Al Assad and push America's covert imperialistic agenda forth.   . . .</w:t>
      </w:r>
    </w:p>
    <w:p w:rsidR="004C0ACB" w:rsidRDefault="004C0ACB">
      <w:pPr>
        <w:widowControl w:val="0"/>
        <w:autoSpaceDE w:val="0"/>
        <w:autoSpaceDN w:val="0"/>
        <w:adjustRightInd w:val="0"/>
        <w:spacing w:after="0" w:line="240" w:lineRule="auto"/>
        <w:rPr>
          <w:rFonts w:ascii="Arial" w:hAnsi="Arial" w:cs="Arial"/>
          <w:sz w:val="16"/>
          <w:szCs w:val="16"/>
        </w:rPr>
      </w:pPr>
    </w:p>
    <w:p w:rsidR="004C0ACB" w:rsidRDefault="004C0ACB">
      <w:pPr>
        <w:widowControl w:val="0"/>
        <w:autoSpaceDE w:val="0"/>
        <w:autoSpaceDN w:val="0"/>
        <w:adjustRightInd w:val="0"/>
        <w:spacing w:after="0" w:line="240" w:lineRule="auto"/>
        <w:rPr>
          <w:rFonts w:ascii="Arial" w:hAnsi="Arial" w:cs="Arial"/>
          <w:sz w:val="16"/>
          <w:szCs w:val="16"/>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Could it not be that it is US pride and not strategic thinking which is getting in the way of the war on terror?</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Reference: https://www.middleeastmonitor.com/articles/americas/14120-america-goes-to-war-against-isil-in-syria--an-alliance-of-convenience-or-prelude-to-regime-change </w:t>
      </w:r>
    </w:p>
    <w:p w:rsidR="004C0ACB" w:rsidRDefault="004C0ACB">
      <w:pPr>
        <w:widowControl w:val="0"/>
        <w:autoSpaceDE w:val="0"/>
        <w:autoSpaceDN w:val="0"/>
        <w:adjustRightInd w:val="0"/>
        <w:spacing w:after="0" w:line="240" w:lineRule="auto"/>
        <w:rPr>
          <w:rFonts w:ascii="Arial" w:hAnsi="Arial" w:cs="Arial"/>
          <w:sz w:val="12"/>
          <w:szCs w:val="12"/>
        </w:rPr>
      </w:pPr>
    </w:p>
    <w:p w:rsidR="004C0ACB" w:rsidRDefault="004C0ACB">
      <w:pPr>
        <w:widowControl w:val="0"/>
        <w:autoSpaceDE w:val="0"/>
        <w:autoSpaceDN w:val="0"/>
        <w:adjustRightInd w:val="0"/>
        <w:spacing w:after="0" w:line="240" w:lineRule="auto"/>
        <w:rPr>
          <w:rFonts w:ascii="Times New Roman" w:hAnsi="Times New Roman" w:cs="Times New Roman"/>
          <w:sz w:val="8"/>
          <w:szCs w:val="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https://www.oximity.com/article/America-goes-to-war-against-ISIL-in-Sy-1</w:t>
      </w: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---https://www.aryanaaid.com/articles/americas/14120-america-goes-to-war-against-isil-in-syria--an-alliance-of-convenience-or-prelude-to-regime-change</w:t>
      </w: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---https://www.middleeastmonitor.com/articles/americas/14120-america-goes-to-war-against-isil-in-syria--an-alliance-of-convenience-or-prelude-to-regime-change</w:t>
      </w: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[Book Review of:] The Pity of War : Explaining World War I (1998)</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BrothersJudd.com    -    May 23, 2001</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Author Info: Niall Ferguson   . .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combination of historical circumstances which put Wilson, FDR, Truman, and JFK in power to lead the United States into WWI, WWII, The Cold War, Korea, and Vietnam has made it very difficult emotionally for the institutional Left to criticize those conflicts.    . . .  Meanwhile, patriotism, even nativism, is such a powerful force on the Right that conservatives have been reluctant to question these righteous and glorious causes. These factors have combined to create an artificial national consensus about American involvement in a series of bloody and quite senseless wars.</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At last though   . . .   conservative historians have finally begun to produce a coherent and fairly unified critique of the century's great wars and of American (and British) participation in them.  The liberating winds of these new circumstances have allowed folks to take a fresh look at a myriad of issues, allowed for A. Scott Berg's rehabilitation of Charles Lindbergh   . . .    acknowledge the utter failure of the New Deal    . . .   Pat Buchanan's A Republic not an Empire, though it was rather harshly denounced, raised important questions about whether it made sense for the U. S. to get involved in WWII.  Niall Ferguson's Pity of War performs much the some service for British participation in the First World War   . . .  </w:t>
      </w:r>
    </w:p>
    <w:p w:rsidR="004C0ACB" w:rsidRDefault="004C0ACB">
      <w:pPr>
        <w:widowControl w:val="0"/>
        <w:autoSpaceDE w:val="0"/>
        <w:autoSpaceDN w:val="0"/>
        <w:adjustRightInd w:val="0"/>
        <w:spacing w:after="0" w:line="240" w:lineRule="auto"/>
        <w:rPr>
          <w:rFonts w:ascii="Arial" w:hAnsi="Arial" w:cs="Arial"/>
          <w:sz w:val="16"/>
          <w:szCs w:val="16"/>
        </w:rPr>
      </w:pPr>
    </w:p>
    <w:p w:rsidR="004C0ACB" w:rsidRDefault="004C0ACB">
      <w:pPr>
        <w:widowControl w:val="0"/>
        <w:autoSpaceDE w:val="0"/>
        <w:autoSpaceDN w:val="0"/>
        <w:adjustRightInd w:val="0"/>
        <w:spacing w:after="0" w:line="240" w:lineRule="auto"/>
        <w:rPr>
          <w:rFonts w:ascii="Arial" w:hAnsi="Arial" w:cs="Arial"/>
          <w:sz w:val="16"/>
          <w:szCs w:val="16"/>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Ferguson concludes that Britain's entry into the War was "nothing less than the greatest error of modern history."  He argues that Germany had no global war aims   . . .   I   . . . think he may actually be too timid in his argument.  One of the criticisms of his analysis has been that Germany had wider aims   . . .   This seems almost absurd.     . . .   </w:t>
      </w:r>
    </w:p>
    <w:p w:rsidR="004C0ACB" w:rsidRDefault="004C0ACB">
      <w:pPr>
        <w:widowControl w:val="0"/>
        <w:autoSpaceDE w:val="0"/>
        <w:autoSpaceDN w:val="0"/>
        <w:adjustRightInd w:val="0"/>
        <w:spacing w:after="0" w:line="240" w:lineRule="auto"/>
        <w:rPr>
          <w:rFonts w:ascii="Arial" w:hAnsi="Arial" w:cs="Arial"/>
          <w:sz w:val="16"/>
          <w:szCs w:val="16"/>
        </w:rPr>
      </w:pPr>
    </w:p>
    <w:p w:rsidR="004C0ACB" w:rsidRDefault="004C0ACB">
      <w:pPr>
        <w:widowControl w:val="0"/>
        <w:autoSpaceDE w:val="0"/>
        <w:autoSpaceDN w:val="0"/>
        <w:adjustRightInd w:val="0"/>
        <w:spacing w:after="0" w:line="240" w:lineRule="auto"/>
        <w:rPr>
          <w:rFonts w:ascii="Arial" w:hAnsi="Arial" w:cs="Arial"/>
          <w:sz w:val="16"/>
          <w:szCs w:val="16"/>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effect of democracy.  It has long been assumed that democracy would tend to be more pacific than other forms of government: how then explain the nearly continuous state of war that the two great democracies, Britain and America, found themselves involved in during the 20th Century?      . . .   The political and cultural dynamics of democracy require that every war the nation enters into be glorified and sanctified, because it was the will of the people.  This means that democracies are nearly incapable of learning any lessons from these conflicts.</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acknowledge that the war was a mistake would perhaps be too traumatic to the polity for such apostasy to stand.  Thus    . . .   the West does nothing even today as China tries to turn itself into a superpower, despite the obvious fact that their power will be aimed directly at us.</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only remaining question   . . .   is whether when the next war comes, the democracies (by which we really only mean Britain and America) will have sense enough to stay out of it.  If enough people read and comprehend The Pity of War, we just might.</w:t>
      </w:r>
    </w:p>
    <w:p w:rsidR="004C0ACB" w:rsidRDefault="004C0ACB">
      <w:pPr>
        <w:widowControl w:val="0"/>
        <w:autoSpaceDE w:val="0"/>
        <w:autoSpaceDN w:val="0"/>
        <w:adjustRightInd w:val="0"/>
        <w:spacing w:after="0" w:line="240" w:lineRule="auto"/>
        <w:rPr>
          <w:rFonts w:ascii="Arial" w:hAnsi="Arial" w:cs="Arial"/>
          <w:sz w:val="12"/>
          <w:szCs w:val="12"/>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 xml:space="preserve">           --- http://brothersjudd.com/index.cfm/fuseaction/reviews.detail/book_id/824/Pity%20of%20War.htm</w:t>
      </w:r>
    </w:p>
    <w:p w:rsidR="004C0ACB" w:rsidRDefault="004C0ACB">
      <w:pPr>
        <w:widowControl w:val="0"/>
        <w:autoSpaceDE w:val="0"/>
        <w:autoSpaceDN w:val="0"/>
        <w:adjustRightInd w:val="0"/>
        <w:spacing w:after="0" w:line="240" w:lineRule="auto"/>
        <w:rPr>
          <w:rFonts w:ascii="Times New Roman" w:hAnsi="Times New Roman" w:cs="Times New Roman"/>
          <w:sz w:val="40"/>
          <w:szCs w:val="40"/>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While Canada Slept: How We Lost Our Place in the World</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Andrew Cohen  -  May 2003</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Canada’s foreign service continues to attract stellar performers often endowed with strong personalities. Let me name four who are currently making a real difference: Paul Heinbecker, Canada’s Ambassador to the United Nations, recently much in the news for quarter-backing a courageous Canadian initiative on Iraq; his predecessor, Robert Fowler, who achieved significant influence in the UN Security Council during Canada’s activist term   . . . and then served as the Prime Minister’s chief aide for Kananaskis, and still serves as Canada’s ambassador to Italy; Jeremy Kinsman, currently Canadian ambassador to the European Union in Brussels and formerly head of the Canadian missions in Moscow, Rome and London; and Marie Bernard-Meunier, our ambassador in Germany.</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Each of these individuals has generated or shaped significant new policies in Ottawa (Heinbecker on security; Fowler on security, Africa and much else; Kinsman on domestic Canadian communications and cultural policy; Bernard-Meunier in the emerging field of global issues, on which Canada did so well in spite of the   . . .budget cutting).</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their aeries abroad, they now work hard to galvanize policy initiatives out of Ottawa that will reflect credit on the country, sometimes clashing with each other (strong egos have not gone out of fashion in DFAIT), but always in the service of Canadian ideals. While none of them has the undiluted power or influence of Pearson, Robertson or Wrong, all are worthy successors to them.</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working level, while frustrations abound, so do unparalleled career opportunities. During my formative years, I worked for policy entrepreneurs such as Sylvia Ostry and Derek Burney (now with CAE Inc.), first-class international operators such as former UN Ambassador Yves Fortier, UN Deputy Secretary-General Louise Frechette and the International Criminal Court’s newly elected presiding judge, Philippe Kirsch.   . .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http://www.g8.utoronto.ca/scholar/Malone/Malone_LRC.pdf</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Cyclic groups of order n can, of course, be represented as a set of permutations of n points (as can any group of order n).  Consider, for a particular n, a set of n points and a set of permutations of them, generated by an n-cycle, that form a group isomorphic to the cyclic group of order n.</w:t>
      </w: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If (and only if) a group is isomorphic to a group that is generated by a subgroup of the cyclic group of order n, that is in turn thought of as a subgroup (generated by an n-cycle) of the group of permutations on n objects (S</w:t>
      </w:r>
      <w:r>
        <w:rPr>
          <w:rFonts w:ascii="Times New Roman" w:hAnsi="Times New Roman" w:cs="Times New Roman"/>
          <w:position w:val="-6"/>
          <w:sz w:val="20"/>
          <w:szCs w:val="20"/>
          <w:vertAlign w:val="subscript"/>
        </w:rPr>
        <w:t>n</w:t>
      </w:r>
      <w:r>
        <w:rPr>
          <w:rFonts w:ascii="Times New Roman" w:hAnsi="Times New Roman" w:cs="Times New Roman"/>
          <w:sz w:val="24"/>
          <w:szCs w:val="24"/>
        </w:rPr>
        <w:t>), and some one particular element of this (realization of) S</w:t>
      </w:r>
      <w:r>
        <w:rPr>
          <w:rFonts w:ascii="Times New Roman" w:hAnsi="Times New Roman" w:cs="Times New Roman"/>
          <w:position w:val="-6"/>
          <w:sz w:val="20"/>
          <w:szCs w:val="20"/>
          <w:vertAlign w:val="subscript"/>
        </w:rPr>
        <w:t>n</w:t>
      </w:r>
      <w:r>
        <w:rPr>
          <w:rFonts w:ascii="Times New Roman" w:hAnsi="Times New Roman" w:cs="Times New Roman"/>
          <w:sz w:val="24"/>
          <w:szCs w:val="24"/>
        </w:rPr>
        <w:t>, and furthermore n is less than the order of the group (unless the group is cyclic in which case equality is allowed), then call that group a circle group.</w:t>
      </w: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In other words, a circle group is either a cyclic group or else is any group that is isomorphic to a subgroup of S</w:t>
      </w:r>
      <w:r>
        <w:rPr>
          <w:rFonts w:ascii="Times New Roman" w:hAnsi="Times New Roman" w:cs="Times New Roman"/>
          <w:position w:val="-6"/>
          <w:sz w:val="20"/>
          <w:szCs w:val="20"/>
          <w:vertAlign w:val="subscript"/>
        </w:rPr>
        <w:t>n</w:t>
      </w:r>
      <w:r>
        <w:rPr>
          <w:rFonts w:ascii="Times New Roman" w:hAnsi="Times New Roman" w:cs="Times New Roman"/>
          <w:sz w:val="24"/>
          <w:szCs w:val="24"/>
        </w:rPr>
        <w:t xml:space="preserve"> that is generated by one element of S</w:t>
      </w:r>
      <w:r>
        <w:rPr>
          <w:rFonts w:ascii="Times New Roman" w:hAnsi="Times New Roman" w:cs="Times New Roman"/>
          <w:position w:val="-6"/>
          <w:sz w:val="20"/>
          <w:szCs w:val="20"/>
          <w:vertAlign w:val="subscript"/>
        </w:rPr>
        <w:t>n</w:t>
      </w:r>
      <w:r>
        <w:rPr>
          <w:rFonts w:ascii="Times New Roman" w:hAnsi="Times New Roman" w:cs="Times New Roman"/>
          <w:sz w:val="24"/>
          <w:szCs w:val="24"/>
        </w:rPr>
        <w:t xml:space="preserve"> and some subgroup of the subgroup generated by an n-cycle contained in this S</w:t>
      </w:r>
      <w:r>
        <w:rPr>
          <w:rFonts w:ascii="Times New Roman" w:hAnsi="Times New Roman" w:cs="Times New Roman"/>
          <w:position w:val="-6"/>
          <w:sz w:val="20"/>
          <w:szCs w:val="20"/>
          <w:vertAlign w:val="subscript"/>
        </w:rPr>
        <w:t>n</w:t>
      </w:r>
      <w:r>
        <w:rPr>
          <w:rFonts w:ascii="Times New Roman" w:hAnsi="Times New Roman" w:cs="Times New Roman"/>
          <w:sz w:val="24"/>
          <w:szCs w:val="24"/>
        </w:rPr>
        <w:t>, provided that n is less than the order of the group.  Obviously, both cyclic groups and dihedral groups are circle groups.</w:t>
      </w: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It is immediately obvious that an equivalent definition of a circle group is a group that is either cyclic or else is isomorphic to a subgroup of S</w:t>
      </w:r>
      <w:r>
        <w:rPr>
          <w:rFonts w:ascii="Times New Roman" w:hAnsi="Times New Roman" w:cs="Times New Roman"/>
          <w:position w:val="-6"/>
          <w:sz w:val="20"/>
          <w:szCs w:val="20"/>
          <w:vertAlign w:val="subscript"/>
        </w:rPr>
        <w:t>n</w:t>
      </w:r>
      <w:r>
        <w:rPr>
          <w:rFonts w:ascii="Times New Roman" w:hAnsi="Times New Roman" w:cs="Times New Roman"/>
          <w:sz w:val="24"/>
          <w:szCs w:val="24"/>
        </w:rPr>
        <w:t>, for some positive integer n less than the order of the group, that is generated by two elements, one of which is some power of an n-cycle.</w:t>
      </w: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If and only if a group is isomorphic to the direct product of a number of circle groups then call that group a circle product.  Note that the group of order 1 is the cyclic group of order 1, and so all circle groups are circle products.</w:t>
      </w: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Question:  How many of the smallest groups are not circle products?  How does the percentage of groups of order n that are not circle products change as n increases?</w:t>
      </w: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   ~~~   ~~~   ~~~   ~~~   ~~~   ~~~   ~~~   ~~~   ~~~   ~~~   ~~~   ~~~   </w:t>
      </w:r>
    </w:p>
    <w:p w:rsidR="004C0ACB" w:rsidRDefault="004C0ACB">
      <w:pPr>
        <w:widowControl w:val="0"/>
        <w:autoSpaceDE w:val="0"/>
        <w:autoSpaceDN w:val="0"/>
        <w:adjustRightInd w:val="0"/>
        <w:spacing w:after="0" w:line="240" w:lineRule="auto"/>
        <w:rPr>
          <w:rFonts w:ascii="Times New Roman" w:hAnsi="Times New Roman" w:cs="Times New Roman"/>
          <w:sz w:val="28"/>
          <w:szCs w:val="28"/>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ind w:left="1152" w:right="1152"/>
        <w:rPr>
          <w:rFonts w:ascii="Times New Roman" w:hAnsi="Times New Roman" w:cs="Times New Roman"/>
          <w:sz w:val="24"/>
          <w:szCs w:val="24"/>
        </w:rPr>
      </w:pPr>
      <w:r>
        <w:rPr>
          <w:rFonts w:ascii="Times New Roman" w:hAnsi="Times New Roman" w:cs="Times New Roman"/>
          <w:sz w:val="24"/>
          <w:szCs w:val="24"/>
        </w:rPr>
        <w:t xml:space="preserve">        Question:  What can be said about groups that have exactly</w:t>
      </w:r>
    </w:p>
    <w:p w:rsidR="004C0ACB" w:rsidRDefault="004C0ACB">
      <w:pPr>
        <w:widowControl w:val="0"/>
        <w:autoSpaceDE w:val="0"/>
        <w:autoSpaceDN w:val="0"/>
        <w:adjustRightInd w:val="0"/>
        <w:spacing w:after="0" w:line="240" w:lineRule="auto"/>
        <w:ind w:left="1152" w:right="1152"/>
        <w:rPr>
          <w:rFonts w:ascii="Times New Roman" w:hAnsi="Times New Roman" w:cs="Times New Roman"/>
          <w:sz w:val="10"/>
          <w:szCs w:val="10"/>
        </w:rPr>
      </w:pPr>
    </w:p>
    <w:p w:rsidR="004C0ACB" w:rsidRDefault="004C0ACB">
      <w:pPr>
        <w:widowControl w:val="0"/>
        <w:autoSpaceDE w:val="0"/>
        <w:autoSpaceDN w:val="0"/>
        <w:adjustRightInd w:val="0"/>
        <w:spacing w:after="0" w:line="240" w:lineRule="auto"/>
        <w:ind w:left="1152" w:right="1152"/>
        <w:rPr>
          <w:rFonts w:ascii="Times New Roman" w:hAnsi="Times New Roman" w:cs="Times New Roman"/>
          <w:sz w:val="24"/>
          <w:szCs w:val="24"/>
        </w:rPr>
      </w:pPr>
      <w:r>
        <w:rPr>
          <w:rFonts w:ascii="Times New Roman" w:hAnsi="Times New Roman" w:cs="Times New Roman"/>
          <w:sz w:val="24"/>
          <w:szCs w:val="24"/>
        </w:rPr>
        <w:t>one element of order two?</w:t>
      </w: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   ~~~   ~~~   ~~~   ~~~   ~~~   ~~~   ~~~   ~~~   ~~~   ~~~   ~~~   ~~~   </w:t>
      </w: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Consider also the special circle groups, where a special circle group is a group that is, for some n, isomorphic to a subgroup of S</w:t>
      </w:r>
      <w:r>
        <w:rPr>
          <w:rFonts w:ascii="Times New Roman" w:hAnsi="Times New Roman" w:cs="Times New Roman"/>
          <w:position w:val="-6"/>
          <w:sz w:val="20"/>
          <w:szCs w:val="20"/>
          <w:vertAlign w:val="subscript"/>
        </w:rPr>
        <w:t>n</w:t>
      </w:r>
      <w:r>
        <w:rPr>
          <w:rFonts w:ascii="Times New Roman" w:hAnsi="Times New Roman" w:cs="Times New Roman"/>
          <w:sz w:val="24"/>
          <w:szCs w:val="24"/>
        </w:rPr>
        <w:t xml:space="preserve"> generated by two elements, one of which is an n-cycle.</w:t>
      </w: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   ~~~   ~~~   ~~~   ~~~   ~~~   ~~~   ~~~   ~~~   ~~~   ~~~   ~~~   ~~~   </w:t>
      </w:r>
    </w:p>
    <w:p w:rsidR="004C0ACB" w:rsidRDefault="004C0ACB">
      <w:pPr>
        <w:widowControl w:val="0"/>
        <w:autoSpaceDE w:val="0"/>
        <w:autoSpaceDN w:val="0"/>
        <w:adjustRightInd w:val="0"/>
        <w:spacing w:after="0" w:line="240" w:lineRule="auto"/>
        <w:ind w:left="1152" w:right="1152"/>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ind w:left="432" w:right="432"/>
        <w:rPr>
          <w:rFonts w:ascii="Times New Roman" w:hAnsi="Times New Roman" w:cs="Times New Roman"/>
          <w:sz w:val="24"/>
          <w:szCs w:val="24"/>
        </w:rPr>
      </w:pPr>
      <w:r>
        <w:rPr>
          <w:rFonts w:ascii="Times New Roman" w:hAnsi="Times New Roman" w:cs="Times New Roman"/>
          <w:sz w:val="24"/>
          <w:szCs w:val="24"/>
        </w:rPr>
        <w:tab/>
        <w:t xml:space="preserve">    What can be said about a group G such that every subgroup of order greater </w:t>
      </w:r>
    </w:p>
    <w:p w:rsidR="004C0ACB" w:rsidRDefault="004C0ACB">
      <w:pPr>
        <w:widowControl w:val="0"/>
        <w:autoSpaceDE w:val="0"/>
        <w:autoSpaceDN w:val="0"/>
        <w:adjustRightInd w:val="0"/>
        <w:spacing w:after="0" w:line="240" w:lineRule="auto"/>
        <w:ind w:left="432" w:right="432"/>
        <w:rPr>
          <w:rFonts w:ascii="Times New Roman" w:hAnsi="Times New Roman" w:cs="Times New Roman"/>
          <w:sz w:val="10"/>
          <w:szCs w:val="10"/>
        </w:rPr>
      </w:pPr>
    </w:p>
    <w:p w:rsidR="004C0ACB" w:rsidRDefault="004C0ACB">
      <w:pPr>
        <w:widowControl w:val="0"/>
        <w:autoSpaceDE w:val="0"/>
        <w:autoSpaceDN w:val="0"/>
        <w:adjustRightInd w:val="0"/>
        <w:spacing w:after="0" w:line="240" w:lineRule="auto"/>
        <w:ind w:left="432" w:right="432"/>
        <w:rPr>
          <w:rFonts w:ascii="Times New Roman" w:hAnsi="Times New Roman" w:cs="Times New Roman"/>
          <w:sz w:val="24"/>
          <w:szCs w:val="24"/>
        </w:rPr>
      </w:pPr>
      <w:r>
        <w:rPr>
          <w:rFonts w:ascii="Times New Roman" w:hAnsi="Times New Roman" w:cs="Times New Roman"/>
          <w:sz w:val="24"/>
          <w:szCs w:val="24"/>
        </w:rPr>
        <w:t xml:space="preserve">than one contains a subgroup of order greater than one that is normal in G, and </w:t>
      </w:r>
    </w:p>
    <w:p w:rsidR="004C0ACB" w:rsidRDefault="004C0ACB">
      <w:pPr>
        <w:widowControl w:val="0"/>
        <w:autoSpaceDE w:val="0"/>
        <w:autoSpaceDN w:val="0"/>
        <w:adjustRightInd w:val="0"/>
        <w:spacing w:after="0" w:line="240" w:lineRule="auto"/>
        <w:ind w:left="432" w:right="432"/>
        <w:rPr>
          <w:rFonts w:ascii="Times New Roman" w:hAnsi="Times New Roman" w:cs="Times New Roman"/>
          <w:sz w:val="10"/>
          <w:szCs w:val="10"/>
        </w:rPr>
      </w:pPr>
    </w:p>
    <w:p w:rsidR="004C0ACB" w:rsidRDefault="004C0ACB">
      <w:pPr>
        <w:widowControl w:val="0"/>
        <w:autoSpaceDE w:val="0"/>
        <w:autoSpaceDN w:val="0"/>
        <w:adjustRightInd w:val="0"/>
        <w:spacing w:after="0" w:line="240" w:lineRule="auto"/>
        <w:ind w:left="432" w:right="432"/>
        <w:rPr>
          <w:rFonts w:ascii="Times New Roman" w:hAnsi="Times New Roman" w:cs="Times New Roman"/>
          <w:sz w:val="24"/>
          <w:szCs w:val="24"/>
        </w:rPr>
      </w:pPr>
      <w:r>
        <w:rPr>
          <w:rFonts w:ascii="Times New Roman" w:hAnsi="Times New Roman" w:cs="Times New Roman"/>
          <w:sz w:val="24"/>
          <w:szCs w:val="24"/>
        </w:rPr>
        <w:t>furthermore G is not the direct product of two non order one groups?</w:t>
      </w: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   ~~~   ~~~   ~~~   ~~~   ~~~   ~~~   ~~~   ~~~   ~~~   ~~~   ~~~   ~~~   </w:t>
      </w: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Consider two sets of points, one of n points, the other of n points, together with a set of permutations (forming a group) on the first set of points and a set of permutations (forming a group) on the second set of points such that the groups formed by the two sets of permutations are isomorphic and such that no point in either set is left unchanged by every permutation on the set to which it belongs.  In other words, for each of the two sets of points and for each point in it, there is always some permutation from the group of permutations on it that moves that point to some other point.  Further, require that the number of points in each set be less than or equal to the order of the group formed by the permutations.  If there exists a one to one mapping f, from the first set of n points to the second set of points (which obviously must also have n points) such that for each permutation p on the first set there exists a permutation q on the second set such that for any point x in the first set   f</w:t>
      </w:r>
      <w:r>
        <w:rPr>
          <w:rFonts w:ascii="Times New Roman" w:hAnsi="Times New Roman" w:cs="Times New Roman"/>
          <w:position w:val="5"/>
          <w:sz w:val="16"/>
          <w:szCs w:val="16"/>
          <w:vertAlign w:val="superscript"/>
        </w:rPr>
        <w:t>-1</w:t>
      </w:r>
      <w:r>
        <w:rPr>
          <w:rFonts w:ascii="Times New Roman" w:hAnsi="Times New Roman" w:cs="Times New Roman"/>
          <w:sz w:val="20"/>
          <w:szCs w:val="20"/>
        </w:rPr>
        <w:t>(q(f(x)))  =  p(x)  and for any point y in the second set and permutation q on the second set there exists a permutation p on the first set such that   f(p(f</w:t>
      </w:r>
      <w:r>
        <w:rPr>
          <w:rFonts w:ascii="Times New Roman" w:hAnsi="Times New Roman" w:cs="Times New Roman"/>
          <w:position w:val="5"/>
          <w:sz w:val="16"/>
          <w:szCs w:val="16"/>
          <w:vertAlign w:val="superscript"/>
        </w:rPr>
        <w:t>-1</w:t>
      </w:r>
      <w:r>
        <w:rPr>
          <w:rFonts w:ascii="Times New Roman" w:hAnsi="Times New Roman" w:cs="Times New Roman"/>
          <w:sz w:val="20"/>
          <w:szCs w:val="20"/>
        </w:rPr>
        <w:t>(y))) = q(y)  then say that the two sets of permutations are cyclic isomorphic</w:t>
      </w:r>
      <w:r>
        <w:rPr>
          <w:rFonts w:ascii="Times New Roman" w:hAnsi="Times New Roman" w:cs="Times New Roman"/>
          <w:sz w:val="12"/>
          <w:szCs w:val="12"/>
        </w:rPr>
        <w:t xml:space="preserve"> </w:t>
      </w:r>
      <w:r w:rsidRPr="00E12DFC">
        <w:rPr>
          <w:rStyle w:val="FootnoteReference"/>
        </w:rPr>
        <w:footnoteReference w:id="1"/>
      </w:r>
      <w:r>
        <w:rPr>
          <w:rFonts w:ascii="Times New Roman" w:hAnsi="Times New Roman" w:cs="Times New Roman"/>
          <w:sz w:val="20"/>
          <w:szCs w:val="20"/>
        </w:rPr>
        <w:t>.  Note that this one to one mapping forms an equivalence relation and so divides sets of points paired together with a set of permutations on them (that leaves no point unchanged by every permutation) that form a group (with the restriction that the number of points is less than or equal to the order of the group) into equivalence classes.</w:t>
      </w: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ab/>
        <w:t xml:space="preserve">For any group call such an equivalence class of the sets of points paired with some permutations on them that form a group isomorphic to this group (such that the number of these points is less than or equal to the order of the group) (and also such that each point is moved by at least some permutation) a </w:t>
      </w:r>
      <w:r>
        <w:rPr>
          <w:rFonts w:ascii="Times New Roman" w:hAnsi="Times New Roman" w:cs="Times New Roman"/>
          <w:i/>
          <w:iCs/>
          <w:sz w:val="20"/>
          <w:szCs w:val="20"/>
        </w:rPr>
        <w:t>part</w:t>
      </w:r>
      <w:r>
        <w:rPr>
          <w:rFonts w:ascii="Times New Roman" w:hAnsi="Times New Roman" w:cs="Times New Roman"/>
          <w:sz w:val="20"/>
          <w:szCs w:val="20"/>
        </w:rPr>
        <w:t xml:space="preserve"> of the group.</w:t>
      </w:r>
    </w:p>
    <w:p w:rsidR="004C0ACB" w:rsidRDefault="004C0ACB">
      <w:pPr>
        <w:widowControl w:val="0"/>
        <w:autoSpaceDE w:val="0"/>
        <w:autoSpaceDN w:val="0"/>
        <w:adjustRightInd w:val="0"/>
        <w:spacing w:after="0" w:line="240" w:lineRule="auto"/>
        <w:rPr>
          <w:rFonts w:ascii="Times New Roman" w:hAnsi="Times New Roman" w:cs="Times New Roman"/>
          <w:sz w:val="12"/>
          <w:szCs w:val="12"/>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For each of the smallest groups list each of their parts.</w:t>
      </w: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How convenient a method can you find that, for any given group, determines the number of parts that it has?</w:t>
      </w: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If a part of a group has the property that for any two points (for some member of its equivalence class) a and b there exists a permutation (in the associated set of permutations on the set of points) that takes point a to point b then say that the part is a transitive part.</w:t>
      </w: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How convenient a method can you find that, for any given group, determines the number of transitive parts that it has?</w:t>
      </w: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If the number of points of some member of its equivalence class of a part of a group is less than or equal to the number of points of any member of any other part of that group then call that part a principle part.</w:t>
      </w: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How convenient a method can you find that, for any given group, determines the number of principle parts that it has?</w:t>
      </w: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Hint:  Consider for a group G a set of subgroups of G:  S1, S2 . . . Sn  (where n is not necessarily equal to the order of G) and denote by Ti the intersection of all of the subgroups in G that are conjugate to Si, and then consider the case where the intersection of all of the Ti is the subgroup containing only the identity and the sum over i of [G:Si] (the index of Si in G) is less than or equal to the order of G.  Also of interest is the set S that is the intersection of all of the Si.</w:t>
      </w:r>
    </w:p>
    <w:p w:rsidR="004C0ACB" w:rsidRDefault="004C0ACB">
      <w:pPr>
        <w:widowControl w:val="0"/>
        <w:autoSpaceDE w:val="0"/>
        <w:autoSpaceDN w:val="0"/>
        <w:adjustRightInd w:val="0"/>
        <w:spacing w:after="0" w:line="240" w:lineRule="auto"/>
        <w:rPr>
          <w:rFonts w:ascii="Times New Roman" w:hAnsi="Times New Roman" w:cs="Times New Roman"/>
          <w:sz w:val="12"/>
          <w:szCs w:val="12"/>
        </w:rPr>
      </w:pPr>
    </w:p>
    <w:p w:rsidR="004C0ACB" w:rsidRDefault="004C0ACB">
      <w:pPr>
        <w:widowControl w:val="0"/>
        <w:autoSpaceDE w:val="0"/>
        <w:autoSpaceDN w:val="0"/>
        <w:adjustRightInd w:val="0"/>
        <w:spacing w:after="0" w:line="240" w:lineRule="auto"/>
        <w:rPr>
          <w:rFonts w:ascii="Times New Roman" w:hAnsi="Times New Roman" w:cs="Times New Roman"/>
          <w:sz w:val="12"/>
          <w:szCs w:val="12"/>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   ~~~   ~~~   ~~~   ~~~   ~~~   ~~~   ~~~   ~~~   ~~~   ~~~   ~~~   ~~~   ~~~   </w:t>
      </w:r>
    </w:p>
    <w:p w:rsidR="004C0ACB" w:rsidRDefault="004C0A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Permutation Group</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Two permutations form a group only if one is the identity element and the other is a permutation involution, i.e., a permutation which is its own inverse (Skiena 1990, p. 20). Every permutation group with more than two elements can be written as a product of transpositions.  . . .</w:t>
      </w:r>
    </w:p>
    <w:p w:rsidR="004C0ACB" w:rsidRDefault="004C0ACB">
      <w:pPr>
        <w:widowControl w:val="0"/>
        <w:autoSpaceDE w:val="0"/>
        <w:autoSpaceDN w:val="0"/>
        <w:adjustRightInd w:val="0"/>
        <w:spacing w:after="0" w:line="240" w:lineRule="auto"/>
        <w:rPr>
          <w:rFonts w:ascii="Arial" w:hAnsi="Arial" w:cs="Arial"/>
          <w:sz w:val="16"/>
          <w:szCs w:val="16"/>
        </w:rPr>
      </w:pPr>
    </w:p>
    <w:p w:rsidR="004C0ACB" w:rsidRDefault="004C0ACB">
      <w:pPr>
        <w:widowControl w:val="0"/>
        <w:autoSpaceDE w:val="0"/>
        <w:autoSpaceDN w:val="0"/>
        <w:adjustRightInd w:val="0"/>
        <w:spacing w:after="0" w:line="240" w:lineRule="auto"/>
        <w:rPr>
          <w:rFonts w:ascii="Arial" w:hAnsi="Arial" w:cs="Arial"/>
          <w:sz w:val="16"/>
          <w:szCs w:val="16"/>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Conjugacy classes of elements which are interchanged in a permutation group are called permutation cycles. Not all groups are representable as permutation groups. For example, the quaternion group cannot be represented in terms of permutations.   . .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 Author! Author!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Permutation Group -- from Wolfram MathWorld</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http://mathworld.wolfram.com/PermutationGroup.html</w:t>
      </w: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second major discovery by ethologists is that many complex behaviors come prepackaged as motor programs — self-contained circuits able to direct the coordinated movements of many different muscles to accomplish a task. The dancing of sticklebacks, the stinging action of wasps, and the pecking of gull chicks are all motor programs.</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first motor program analyzed in much detail was the egg-rolling response of geese. When a goose sees an egg outside its nest, it stares at the egg, stretches its neck until its bill is just on the other side of the egg, and then gently rolls the egg back into the nest. At first glance this seems a thoughtful and intelligent piece of behavior, but it is a mechanical motor program; almost any smooth, rounded object (the sign stimulus) will release the response. Furthermore, removal of the egg once the program has begun does not stop the goose from finishing its neck extension and delicately rolling the nonexistent object into the nest. Such a response is one of a special group of motor programs known as fixed-action patterns. Programs of this class are wholly innate, although they are frequently wired so that some of the movements are adjusted automatically to compensate for unpredictable contingencies, such as the roughness and slope of the ground the goose must nudge the egg across. Apparently, the possible complexity of such programs is almost unlimited; birds' nests and the familiar beautiful webs of orb-weaving spiders are examples.</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spider does not have to learn how to make a web, although the spinning itself can be adapted to unique circumstances, including the webs spun by spiders under zero gravitation in spacecraft. The simplest webs are irregular and generally laid out along the ground. More advanced webs, particularly of orb-weaver spiders, are highly intricate, raised above the ground, and oriented to intercept the paths of flying insects. The spinning itself is a complex process involving the placement and then removal of scaffolding spirals and a combination of sticky and nonsticky strands.</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Encarta</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4"/>
          <w:szCs w:val="24"/>
        </w:rPr>
        <w:t>What can you say about those groups G that are not isomorphic to any subgroup of the direct product of any two other groups K</w:t>
      </w:r>
      <w:r>
        <w:rPr>
          <w:rFonts w:ascii="Times New Roman" w:hAnsi="Times New Roman" w:cs="Times New Roman"/>
          <w:position w:val="-6"/>
          <w:sz w:val="20"/>
          <w:szCs w:val="20"/>
          <w:vertAlign w:val="subscript"/>
        </w:rPr>
        <w:t>1</w:t>
      </w:r>
      <w:r>
        <w:rPr>
          <w:rFonts w:ascii="Times New Roman" w:hAnsi="Times New Roman" w:cs="Times New Roman"/>
          <w:sz w:val="24"/>
          <w:szCs w:val="24"/>
        </w:rPr>
        <w:t xml:space="preserve"> and K</w:t>
      </w:r>
      <w:r>
        <w:rPr>
          <w:rFonts w:ascii="Times New Roman" w:hAnsi="Times New Roman" w:cs="Times New Roman"/>
          <w:position w:val="-6"/>
          <w:sz w:val="20"/>
          <w:szCs w:val="20"/>
          <w:vertAlign w:val="subscript"/>
        </w:rPr>
        <w:t>2</w:t>
      </w:r>
      <w:r>
        <w:rPr>
          <w:rFonts w:ascii="Times New Roman" w:hAnsi="Times New Roman" w:cs="Times New Roman"/>
          <w:sz w:val="24"/>
          <w:szCs w:val="24"/>
        </w:rPr>
        <w:t xml:space="preserve"> such that the orders of  K</w:t>
      </w:r>
      <w:r>
        <w:rPr>
          <w:rFonts w:ascii="Times New Roman" w:hAnsi="Times New Roman" w:cs="Times New Roman"/>
          <w:position w:val="-6"/>
          <w:sz w:val="20"/>
          <w:szCs w:val="20"/>
          <w:vertAlign w:val="subscript"/>
        </w:rPr>
        <w:t>1</w:t>
      </w:r>
      <w:r>
        <w:rPr>
          <w:rFonts w:ascii="Times New Roman" w:hAnsi="Times New Roman" w:cs="Times New Roman"/>
          <w:sz w:val="24"/>
          <w:szCs w:val="24"/>
        </w:rPr>
        <w:t xml:space="preserve"> and K</w:t>
      </w:r>
      <w:r>
        <w:rPr>
          <w:rFonts w:ascii="Times New Roman" w:hAnsi="Times New Roman" w:cs="Times New Roman"/>
          <w:position w:val="-6"/>
          <w:sz w:val="20"/>
          <w:szCs w:val="20"/>
          <w:vertAlign w:val="subscript"/>
        </w:rPr>
        <w:t>2</w:t>
      </w:r>
      <w:r>
        <w:rPr>
          <w:rFonts w:ascii="Times New Roman" w:hAnsi="Times New Roman" w:cs="Times New Roman"/>
          <w:sz w:val="24"/>
          <w:szCs w:val="24"/>
        </w:rPr>
        <w:t xml:space="preserve"> are both less than the order of G?</w:t>
      </w: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4"/>
          <w:szCs w:val="24"/>
        </w:rPr>
        <w:t>What can you say about those groups G that are not isomorphic to any subgroup of the direct product of any set of n other groups {K</w:t>
      </w:r>
      <w:r>
        <w:rPr>
          <w:rFonts w:ascii="Times New Roman" w:hAnsi="Times New Roman" w:cs="Times New Roman"/>
          <w:position w:val="-6"/>
          <w:sz w:val="20"/>
          <w:szCs w:val="20"/>
          <w:vertAlign w:val="subscript"/>
        </w:rPr>
        <w:t>1</w:t>
      </w:r>
      <w:r>
        <w:rPr>
          <w:rFonts w:ascii="Times New Roman" w:hAnsi="Times New Roman" w:cs="Times New Roman"/>
          <w:sz w:val="24"/>
          <w:szCs w:val="24"/>
        </w:rPr>
        <w:t>, K</w:t>
      </w:r>
      <w:r>
        <w:rPr>
          <w:rFonts w:ascii="Times New Roman" w:hAnsi="Times New Roman" w:cs="Times New Roman"/>
          <w:position w:val="-6"/>
          <w:sz w:val="20"/>
          <w:szCs w:val="20"/>
          <w:vertAlign w:val="subscript"/>
        </w:rPr>
        <w:t>2</w:t>
      </w:r>
      <w:r>
        <w:rPr>
          <w:rFonts w:ascii="Times New Roman" w:hAnsi="Times New Roman" w:cs="Times New Roman"/>
          <w:sz w:val="24"/>
          <w:szCs w:val="24"/>
        </w:rPr>
        <w:t>, . . .  K</w:t>
      </w:r>
      <w:r>
        <w:rPr>
          <w:rFonts w:ascii="Times New Roman" w:hAnsi="Times New Roman" w:cs="Times New Roman"/>
          <w:position w:val="-6"/>
          <w:sz w:val="20"/>
          <w:szCs w:val="20"/>
          <w:vertAlign w:val="subscript"/>
        </w:rPr>
        <w:t>n</w:t>
      </w:r>
      <w:r>
        <w:rPr>
          <w:rFonts w:ascii="Times New Roman" w:hAnsi="Times New Roman" w:cs="Times New Roman"/>
          <w:sz w:val="24"/>
          <w:szCs w:val="24"/>
        </w:rPr>
        <w:t>} such that the orders of each of the K</w:t>
      </w:r>
      <w:r>
        <w:rPr>
          <w:rFonts w:ascii="Times New Roman" w:hAnsi="Times New Roman" w:cs="Times New Roman"/>
          <w:position w:val="-6"/>
          <w:sz w:val="20"/>
          <w:szCs w:val="20"/>
          <w:vertAlign w:val="subscript"/>
        </w:rPr>
        <w:t>i</w:t>
      </w:r>
      <w:r>
        <w:rPr>
          <w:rFonts w:ascii="Times New Roman" w:hAnsi="Times New Roman" w:cs="Times New Roman"/>
          <w:sz w:val="24"/>
          <w:szCs w:val="24"/>
        </w:rPr>
        <w:t xml:space="preserve"> are less than the order of G?</w:t>
      </w: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Thus, if you have worked through the above you will now see how to factor the realization of T that you were given earlier (which is a transitive permutation group on 12 points, the one given by the Cayley map in fact) into a permutation group on 7 objects with two orbits, one of four points, the other of three points, a group which you will note is a subgroup of the group found at Perilous (D</w:t>
      </w:r>
      <w:r>
        <w:rPr>
          <w:rFonts w:ascii="Times New Roman" w:hAnsi="Times New Roman" w:cs="Times New Roman"/>
          <w:position w:val="-5"/>
          <w:sz w:val="16"/>
          <w:szCs w:val="16"/>
          <w:vertAlign w:val="subscript"/>
        </w:rPr>
        <w:t>4</w:t>
      </w:r>
      <w:r>
        <w:rPr>
          <w:rFonts w:ascii="Times New Roman" w:hAnsi="Times New Roman" w:cs="Times New Roman"/>
          <w:sz w:val="24"/>
          <w:szCs w:val="24"/>
        </w:rPr>
        <w:t xml:space="preserve"> x D</w:t>
      </w:r>
      <w:r>
        <w:rPr>
          <w:rFonts w:ascii="Times New Roman" w:hAnsi="Times New Roman" w:cs="Times New Roman"/>
          <w:position w:val="-5"/>
          <w:sz w:val="16"/>
          <w:szCs w:val="16"/>
          <w:vertAlign w:val="subscript"/>
        </w:rPr>
        <w:t>3</w:t>
      </w:r>
      <w:r>
        <w:rPr>
          <w:rFonts w:ascii="Times New Roman" w:hAnsi="Times New Roman" w:cs="Times New Roman"/>
          <w:position w:val="6"/>
          <w:sz w:val="20"/>
          <w:szCs w:val="20"/>
          <w:vertAlign w:val="superscript"/>
        </w:rPr>
        <w:t>2</w:t>
      </w:r>
      <w:r>
        <w:rPr>
          <w:rFonts w:ascii="Times New Roman" w:hAnsi="Times New Roman" w:cs="Times New Roman"/>
          <w:sz w:val="24"/>
          <w:szCs w:val="24"/>
        </w:rPr>
        <w:t xml:space="preserve"> x D</w:t>
      </w:r>
      <w:r>
        <w:rPr>
          <w:rFonts w:ascii="Times New Roman" w:hAnsi="Times New Roman" w:cs="Times New Roman"/>
          <w:position w:val="-5"/>
          <w:sz w:val="16"/>
          <w:szCs w:val="16"/>
          <w:vertAlign w:val="subscript"/>
        </w:rPr>
        <w:t>5</w:t>
      </w:r>
      <w:r>
        <w:rPr>
          <w:rFonts w:ascii="Times New Roman" w:hAnsi="Times New Roman" w:cs="Times New Roman"/>
          <w:position w:val="6"/>
          <w:sz w:val="20"/>
          <w:szCs w:val="20"/>
          <w:vertAlign w:val="superscript"/>
        </w:rPr>
        <w:t>3</w:t>
      </w:r>
      <w:r>
        <w:rPr>
          <w:rFonts w:ascii="Times New Roman" w:hAnsi="Times New Roman" w:cs="Times New Roman"/>
          <w:sz w:val="24"/>
          <w:szCs w:val="24"/>
        </w:rPr>
        <w:t>).</w:t>
      </w: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ab/>
      </w:r>
    </w:p>
    <w:p w:rsidR="004C0ACB" w:rsidRDefault="004C0ACB">
      <w:pPr>
        <w:widowControl w:val="0"/>
        <w:autoSpaceDE w:val="0"/>
        <w:autoSpaceDN w:val="0"/>
        <w:adjustRightInd w:val="0"/>
        <w:spacing w:after="0" w:line="240" w:lineRule="auto"/>
        <w:rPr>
          <w:rFonts w:ascii="Times New Roman" w:hAnsi="Times New Roman" w:cs="Times New Roman"/>
          <w:sz w:val="12"/>
          <w:szCs w:val="12"/>
        </w:rPr>
      </w:pPr>
    </w:p>
    <w:p w:rsidR="004C0ACB" w:rsidRDefault="004C0ACB">
      <w:pPr>
        <w:widowControl w:val="0"/>
        <w:autoSpaceDE w:val="0"/>
        <w:autoSpaceDN w:val="0"/>
        <w:adjustRightInd w:val="0"/>
        <w:spacing w:after="0" w:line="240" w:lineRule="auto"/>
        <w:rPr>
          <w:rFonts w:ascii="Times New Roman" w:hAnsi="Times New Roman" w:cs="Times New Roman"/>
          <w:sz w:val="12"/>
          <w:szCs w:val="12"/>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   ~~~   ~~~   ~~~   ~~~   ~~~   ~~~   ~~~   ~~~   ~~~   ~~~   ~~~   ~~~   ~~~   </w:t>
      </w: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Machiavelli: The end justifies the means</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prince, then, who would be powerful should have no care or thought but for war, lest he lose his dominions. If he be ignorant of military affairs he can neither be respected by the soldiers nor trust them. Therefore, he must both practise and study this art.   . . .  </w:t>
      </w:r>
    </w:p>
    <w:p w:rsidR="004C0ACB" w:rsidRDefault="004C0ACB">
      <w:pPr>
        <w:widowControl w:val="0"/>
        <w:autoSpaceDE w:val="0"/>
        <w:autoSpaceDN w:val="0"/>
        <w:adjustRightInd w:val="0"/>
        <w:spacing w:after="0" w:line="240" w:lineRule="auto"/>
        <w:rPr>
          <w:rFonts w:ascii="Arial" w:hAnsi="Arial" w:cs="Arial"/>
          <w:sz w:val="16"/>
          <w:szCs w:val="16"/>
        </w:rPr>
      </w:pPr>
    </w:p>
    <w:p w:rsidR="004C0ACB" w:rsidRDefault="004C0ACB">
      <w:pPr>
        <w:widowControl w:val="0"/>
        <w:autoSpaceDE w:val="0"/>
        <w:autoSpaceDN w:val="0"/>
        <w:adjustRightInd w:val="0"/>
        <w:spacing w:after="0" w:line="240" w:lineRule="auto"/>
        <w:rPr>
          <w:rFonts w:ascii="Arial" w:hAnsi="Arial" w:cs="Arial"/>
          <w:sz w:val="16"/>
          <w:szCs w:val="16"/>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Anyone who would act up to a perfect standard of goodness in everything must be ruined among so many who are not good. It is essential therefore for a prince to have learnt how to be other than good and to use, or not to use, his goodness as necessity requires.   . . .</w:t>
      </w:r>
    </w:p>
    <w:p w:rsidR="004C0ACB" w:rsidRDefault="004C0ACB">
      <w:pPr>
        <w:widowControl w:val="0"/>
        <w:autoSpaceDE w:val="0"/>
        <w:autoSpaceDN w:val="0"/>
        <w:adjustRightInd w:val="0"/>
        <w:spacing w:after="0" w:line="240" w:lineRule="auto"/>
        <w:rPr>
          <w:rFonts w:ascii="Arial" w:hAnsi="Arial" w:cs="Arial"/>
          <w:sz w:val="16"/>
          <w:szCs w:val="16"/>
        </w:rPr>
      </w:pPr>
    </w:p>
    <w:p w:rsidR="004C0ACB" w:rsidRDefault="004C0ACB">
      <w:pPr>
        <w:widowControl w:val="0"/>
        <w:autoSpaceDE w:val="0"/>
        <w:autoSpaceDN w:val="0"/>
        <w:adjustRightInd w:val="0"/>
        <w:spacing w:after="0" w:line="240" w:lineRule="auto"/>
        <w:rPr>
          <w:rFonts w:ascii="Arial" w:hAnsi="Arial" w:cs="Arial"/>
          <w:sz w:val="16"/>
          <w:szCs w:val="16"/>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Every prince should desire to be accounted merciful, not cruel; but a new prince cannot escape a name for cruelty, for he who quells disorder by a few signal examples will, in the end, be the more merciful.   . . .</w:t>
      </w:r>
    </w:p>
    <w:p w:rsidR="004C0ACB" w:rsidRDefault="004C0ACB">
      <w:pPr>
        <w:widowControl w:val="0"/>
        <w:autoSpaceDE w:val="0"/>
        <w:autoSpaceDN w:val="0"/>
        <w:adjustRightInd w:val="0"/>
        <w:spacing w:after="0" w:line="240" w:lineRule="auto"/>
        <w:rPr>
          <w:rFonts w:ascii="Arial" w:hAnsi="Arial" w:cs="Arial"/>
          <w:sz w:val="16"/>
          <w:szCs w:val="16"/>
        </w:rPr>
      </w:pPr>
    </w:p>
    <w:p w:rsidR="004C0ACB" w:rsidRDefault="004C0ACB">
      <w:pPr>
        <w:widowControl w:val="0"/>
        <w:autoSpaceDE w:val="0"/>
        <w:autoSpaceDN w:val="0"/>
        <w:adjustRightInd w:val="0"/>
        <w:spacing w:after="0" w:line="240" w:lineRule="auto"/>
        <w:rPr>
          <w:rFonts w:ascii="Arial" w:hAnsi="Arial" w:cs="Arial"/>
          <w:sz w:val="16"/>
          <w:szCs w:val="16"/>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Princes who set little store by their word but have known how to over-reach men by their cunning have accomplished great things, and in the end got the better of those who trusted to honest dealing. The prince must be a lion, but he must also know how to play the fox. He who wishes to deceive will never fail to find willing dupes. The prince, in short,   . . .  should know how to follow evil courses if he must.   . . .</w:t>
      </w:r>
    </w:p>
    <w:p w:rsidR="004C0ACB" w:rsidRDefault="004C0ACB">
      <w:pPr>
        <w:widowControl w:val="0"/>
        <w:autoSpaceDE w:val="0"/>
        <w:autoSpaceDN w:val="0"/>
        <w:adjustRightInd w:val="0"/>
        <w:spacing w:after="0" w:line="240" w:lineRule="auto"/>
        <w:rPr>
          <w:rFonts w:ascii="Arial" w:hAnsi="Arial" w:cs="Arial"/>
          <w:sz w:val="16"/>
          <w:szCs w:val="16"/>
        </w:rPr>
      </w:pPr>
    </w:p>
    <w:p w:rsidR="004C0ACB" w:rsidRDefault="004C0ACB">
      <w:pPr>
        <w:widowControl w:val="0"/>
        <w:autoSpaceDE w:val="0"/>
        <w:autoSpaceDN w:val="0"/>
        <w:adjustRightInd w:val="0"/>
        <w:spacing w:after="0" w:line="240" w:lineRule="auto"/>
        <w:rPr>
          <w:rFonts w:ascii="Arial" w:hAnsi="Arial" w:cs="Arial"/>
          <w:sz w:val="16"/>
          <w:szCs w:val="16"/>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best fortress you can have is in not being hated by your subjects.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Nothing makes a prince so well thought of as to undertake great enterprises and give striking proofs of his capacity. Ferdinand of Aragon, in our own time, has become the foremost king in Christendom. If you consider his achievements, you will find them all great and some extraordinary. First he made war on Granada, and this was the foundation of his power. Under the cloak of religion, with what may be called pious cruelty, he cleared his kingdom of the Moors, made war on Africa, invaded Italy and finally attacked France; while his subjects, occupied with these great actions, had neither time nor opportunity to oppose them.</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retain a good minister the prince will bind him to himself by benefits. Above all, he will avoid being deceived by flatterers, and while he consults his counsellors should reflect and judge for himself. A prince who is not wise himself cannot be well advised by others.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Italian princes who in our own times have lost their dominions have either been deficient in respect of arms, or have had the people against them, or have not known how to secure themselves against the nobles. As to the influence of fortune it may be the case that she is the mistress of one half of our actions, but leaves the control of the other half to ourselves. That prince will prosper most whose mode of acting best adapts itself to the character of the times; so that at one time a cautious temperament, and at another an impetuous temperament, will be the more successful.</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Now, at this time the whole land of Italy is without a head, without order, beaten, spoiled, torn in pieces, overrun, and abandoned to destruction in every shape. She prays God to send someone to rescue her from these barbarous cruelties; she is eager to follow anyone who could undertake the part of a deliverer; nor does this seem too hard a task for you, the Magnificent Lorenzo of the illustrious house of Medici. The cause is just; we have before us unexampled proofs of Divine favour. Everything has concurred to promote your greatness. What remains to be done must be done by you, for God will not do everything Himself.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---http://www.publicbookshelf.com/public_html/Outline_of_Great_Books_Volume_I/machiavell_bfa.html</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President Wilson’s Flag Day Address</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Washington, D. C., June 14th, 1917</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Fellow Citizens:</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meet to celebrate Flag Day because this flag which we honor and under which we serve is the emblem of our unity, our power, our thought and purpose as a nation. It has no other character than that which we give it from generation to generation. The choices are ours. It floats in majestic silence above the hosts that execute those choices, whether in peace or in war. And yet, though silent, it speaks to us — speaks to us of the past, of the men and women who went before us and of the records they wrote upon it. We celebrate the day of its birth; and from its birth until now it has witnessed a great history, has floated on high the symbol of great events, of a great plan of life worked out by a great people.</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are about to carry it into battle, to lift it where it will draw the fire of our enemies. We are about to bid thousands, hundreds of thousands, it may be millions, of our men, the young, the strong, the capable men of the nation, to go forth and die beneath it on fields of blood far away — for what? For some unaccustomed thing? For something for which it has never sought the fire before? American armies were never before sent across the seas. Why are they sent now? For some new purpose, for which this great flag has never been carried before, or for some old, familiar, heroic purpose for which it has seen men, its own men, die on every battlefield upon which Americans have borne arms since the Revolution?</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are questions which must be answered. We are Americans. We in our turn serve America, and can serve her with no private purpose. We must use her flag as she has always used it. We are accountable at the bar of history and must plead in utter frankness what purpose it is we seek to serve.</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plain enough how we were forced into the war. The extraordinary insults and aggressions of the Imperial German Government left us no self-respecting choice but to take up arms in defense of our rights as a free people and of our honor as a sovereign government.</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military masters of Germany denied us the right to be neutral. They filled our unsuspecting communities with vicious spies and conspirators and sought to corrupt the opinion of our people in their own behalf. When they found that they could not do that, their agents diligently spread sedition amongst us and sought to draw our own citizens from their allegiance — but some of those agents were men connected with the official Embassy of the German Government itself here in our own capital.</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sought by violence to destroy our industries and arrest our commerce. They tried to incite Mexico to take up arms against us and to draw Japan into a hostile alliance with her — and that, not by indirection, but by direct suggestion from the Foreign Office in Berlin. They impudently denied us the use of the high seas and repeatedly executed their threat that they would send to their death any of our people who ventured to approach the coasts of Europe.</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many of our own people were corrupted. Men began to look upon their own neighbors with suspicion and to wonder in their hot resentment and surprise whether there was any community in which hostile intrigue did not lurk. What great nation in such circumstances would not have taken up arms? Much as we had desired peace, it was denied us, and not of our own choice. This flag under which we serve would have been dishonored had we withheld our hand.</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us there is but one choice. We have made it. Woe be to the man or group of men that seeks to stand in our way in this day of high resolution when every principle we hold dearest is to be vindicated and made secure for the salvation of the nations. We are ready to plead at the bar of history, and our flag shall wear a new luster. Once more we shall make good with our lives and fortunes the great faith to which we were born, and a new glory shall shine in the face of our people.</w:t>
      </w:r>
    </w:p>
    <w:p w:rsidR="004C0ACB" w:rsidRDefault="004C0ACB">
      <w:pPr>
        <w:widowControl w:val="0"/>
        <w:autoSpaceDE w:val="0"/>
        <w:autoSpaceDN w:val="0"/>
        <w:adjustRightInd w:val="0"/>
        <w:spacing w:after="0" w:line="240" w:lineRule="auto"/>
        <w:rPr>
          <w:rFonts w:ascii="Times New Roman" w:hAnsi="Times New Roman" w:cs="Times New Roman"/>
          <w:sz w:val="12"/>
          <w:szCs w:val="12"/>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---http://en.wikisource.org/wiki/Patriotic_pieces_from_the_Great_War/President_Wilson's_Flag_Day_Address</w:t>
      </w: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Transnational Approaches to U.S. History</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Angus Burgin</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Jeremy Adelman, Worldly Philosopher: The Odyssey of Albert O. Hirschmann</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(Princeton University Press, 2013).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Christopher Bayly. The Birth of the Modern World, 1780-1914: Global Connections and Comparisons (Blackwell, 2004).</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Nick Cullather, The Hungry World: America’s Cold War Battle against Poverty in Asia (Harvard University Press, 2010).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Victoria de Grazia, Irresistible Empire: America’s Advance through 20th-Century Europe (Harvard University Press, 2005).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Pekka Hämäläinen, The Comanche Empire (Yale University Press, 2008).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David Harvey, The Condition of Postmodernity (Blackwell, 1989).</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Walter Johnson, River of Dark Dreams: Slavery and Empire in the Cotton Kingdom (Harvard University Press, 2013).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Paul A. Kramer, The Blood of Government: Race, Empire, the United States, and the Philippines (University of North Carolina Press, 2006).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Samuel Moyn, The Last Utopia: Human Rights in History (Harvard University Press 2010).</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Mae M. Ngai, Impossible Subjects: Illegal Aliens and the Making of Modern America (Princeton University Press, 2004).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Jennifer Ratner-Rosenhagen, American Nietzsche: A History of an Icon and His Ideas (University of Chicago Press, 2011).</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Ian Tyrrell, Reforming the World: The Creation of America’s Moral Empire (Princeton University Press, 2010).</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Monday, January 27: Introduction</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Monday, February 3: The Transnational Turn</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Christopher Bayly, The Birth of the Modern World, 1780-1914: Global Connections and Comparisons (Blackwell, 2004).</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*Charles Maier, “Consigning the Twentieth Century to History: Alternative Narratives for the Modern Era,” American Historical Review 105, no. 3 (2000), pp. 807-31.</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*Christopher Bayly et al., “AHR Conversation on Transnational History,” American Historical Review 111, no. 5 (2006), pp. 1441-1464.</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*Ian Tyrrell, “Reflections on the Transnational Turn in United States History: Theory and Practice,” Journal of Global History 4 (2009): 453-474.</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Supplementary Readings:</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Andrew J. Bacevich, American Empire: The Realities and Consequences of U.S. Diplomacy (Harvard University Press, 2004).</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Thomas Bender, A Nation among Nations: America’s Place in World History (Hill and Wang, 2006).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Thomas Bender, ed., Rethinking American History in a Global Age (University of California Press, 2002).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Laura Briggs, Gladys McCormick, and J. T. Way, “Transnationalism: A Category of Analysis,” American Quarterly 60, no. 3 (2008), pp. 625-648.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Michael Geyer and Charles Bright, "World History in a Global Age,” American Historical Review 100,4 (1995): 1034-1060.</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Akira Iriye, Global and Transnational History: The Past, Present, and Future (Palgrave Pivot, 2012).</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Akira Iriye and Pierre-Yves Saunier, The Palgrave Dictionary of Transnational History (Palgrave, 2009).</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Erez Manela, “The United States in the World,” in American History Now, ed. Eric Foner and Lisa McGirr (Temple University Press, 2011).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Jürgen Osterhammel, The Transformation of the World: A Global History of the Nineteenth Century, trans. Patrick Camiller (Princeton University Press, 2014).</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Eric Rauchway, Blessed among Nations: How the World Made America (Hill and Wang, 2006).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Gary W. Reichard and Ted Dickson, eds. America on the World Stage: A Global Approach to US History (University of Illinois Press, 2008).</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Pierre-Yves Saunier, “Learning by Doing: Notes about the Making of the Palgrave Dictionary of Transnational History,” Journal of Modern European History 6,2 (2009): 159-80.</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David Thelen, “Making History and Making the United States,” Journal of American Studies 32, 3 (1998): 373-94.</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Monday, February 10: Borderlands</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Pekka Hämäläinen, The Comanche Empire (Yale University Press, 2008).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*Jeremy Adelman and Stephen Aron, “From Borderlands to Borders: Empires, Nation- States, and the Peoples in Between in North American History,” American Historical Review 104, no. 3 (June 1999), pp. 814-841.</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*Brian DeLay, “Independent Indians and the U.S.-Mexican War,” American Historical Review 112 (Feb., 2007), 35-68.</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Supplementary Readings:</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Michael Baud and Willem Van Schendel, “Toward a Comparative History of Borderlands,” Journal of World History 8, no. 2 (1997), pp. 211-242.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Brian DeLay, War of a Thousand Deserts: Indian Raids and the U.S.-Mexican War (Yale University Press, 2009).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Ramón Gutiérrez and Elliott Young, “Transnationalizing Borderlands History,” Western Historical Quarterly 41 (2010): 27-53.</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Karl Jacoby, Shadows at Dawn: A Borderlands Massacre and the Violence of History (Penguin, 2008).</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Kelly Lytle Hernandez, Migra! A History of the U.S. Border Patrol (University of California Press, 2010).</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Benjamin Johnson and Andrew R. Graybill, Bridging National Borders in North America: Transnational and Comparative Histories (Duke University Press, 2010).</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Patricia Nelson Limerick, “Going West and Ending up Global,” Western Historical Quarterly 32, no. 1 (2001), pp. 5-23.</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Anthony P. Mora, Border Dilemmas: Racial and National Uncertainties in New Mexico, 1848-1912 (Duke University Press, 2011).</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Rachel St. John, Line in the Sand: A History of the U.S.-Mexico Border (Princeton: Princeton University Press, 2011).</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Alexandra Stern, “Buildings, Boundaries, and Blood: Medicalization and Nation- Building on the U.S.-Mexico Border, 1910-1930,” Hispanic American Historical Review 79, no. 1 (1999), pp. 41-81.</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Samuel Truett and Elliott Young, eds., Continental Crossroads: Remapping U.S.- Mexico Borderlands History (Duke University Press, 2004).</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David J. Weber, “Turner, the Boltonians, and the Borderlands,” American Historical Review 91, no. 1 (1986), pp. 66-81.   . .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Monday, February 24: Race, Gender, and American Empire</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Paul A. Kramer, The Blood of Government: Race, Empire, the United States, and the Philippines (University of North Carolina Press, 2006).</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*Amy Kaplan, The Anarchy of Empire in the Making of U.S. Culture (Harvard University Press, 2002), Introduction and ch. 3.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*Jeremi Suri, “The Limits of American Empire: Democracy and Militarism in the Twentieth and Twenty-first Centuries,” in Alfred W. McCoy and Francisco A. Scarano, eds., Colonial Crucible: Empire in the Making of the Modern American State (University of Wisconsin Press, 2009), 523–531.</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Supplementary Readings:</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Gail Bederman, Manliness and Civilization: A Cultural History of Gender and Race in the United States, 1880–1917 (University of Chicago Press, 1996).</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Laura Briggs, Reproducing Empire: Race, Sex, Science, and U.S. Imperialism in Puerto Rico (University of California Press, 2002).</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Margot Canaday, ed., “AHR Forum: Transnational Sexualities,” American Historical Review 114, no. 5 (2009), pp. 1250-1354.</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Penny M. Von Eschen, Race against Empire: Black Americans and Anticolonialism, 1937-1957 (Cornell University Press, 1997).</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Michael Cullen Green, Black Yanks in the Pacific: Race in the Making of American Military Empire after World War II (Cornell University Press, 2010).</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Mary Ann Heiss, “The Evolution of the Imperial Idea and U.S. National Security,” Diplomatic History 26 (2002), pp. 511-540.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Kristin Hoganson, Fighting for American Manhood: How Gender Politics Provoked the Spanish-American and Philippine-American Wars (Yale University Press, 2000).</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Robin D. G. Kelley, “‘But a Local Phase of a World Problem’: Black History’s Global Vision, 1883-1950,” Journal of American History 86 (1999), pp. 1045-1077 . </w:t>
      </w:r>
      <w:r>
        <w:rPr>
          <w:rFonts w:ascii="Arial" w:hAnsi="Arial" w:cs="Arial"/>
          <w:sz w:val="20"/>
          <w:szCs w:val="20"/>
        </w:rPr>
        <w:tab/>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Paul Kramer, “Power and Connection: Imperial Histories of the United States in the World,” American Historical Review 116 (2011), pp. 1348–1391.</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Alfred W. McCoy, Policing America’s Empire: The United States, the Philippines and the Rise of the Surveillance State (University of Wisconsin Press, 2009).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Jason C. Parker. Brother’s Keeper: The United States, Race, and Empire in the British Caribbean, 1937-1962 (Oxford University Press, 2008).</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Emily Rosenberg, Financial Missionaries to the World: The Politics and Culture of Dollar Diplomacy, 1900-1930 (Harvard University Press, 1999).</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Robert W. Rydell, All the World's a Fair: Visions of Empire at American International Expositions, 1876-1916 (University of Chicago Press, 1984).</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Cyrus Veeser, A World Safe for Capitalism: Dollar Diplomacy and America’s Rise to Global Power (Columbia University Press, 2002).</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Patrick Wolfe, “History and Imperialism: A Century of Theory from Marx to Postcolonialism,” American Historical Review 102, no. 1 (1997), pp. 388-420.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Monday, March 3: International Organizations</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Ian Tyrrell, Reforming the World: The Creation of America’s Moral Empire (Princeton University Press, 2010).</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*Akira Iriye, "Internationalizing International History," in Thomas Bender, ed.,  Rethinking American History in a Global Age (University of California Press, 2002), pp. 47–62.</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*Margaret Keck, Activists Beyond Borders: Advocacy Networks in International Politics (Cornell, 1998), pp. 1–38.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Supplementary Readings:</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Peter Evans, “Counter-Hegemonic Globalization: Transnational Social Movements in the Contemporary Global Political Economy,” in Thomas Janoski, Alexander M. Hicks, and Mildred Schwartz, Handbook of Political Sociology (Cambridge University Press, 2005).</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Akira Iriye, Global Community: The Role of International Organizations in the Making of the Contemporary World (University of California Press, 2002).</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Margaret E. Keck and Kathryn Sikkink, Activists beyond Borders: Advocacy Networks in International Politics (Johns Hopkins University Press, 1998).</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Paul Kennedy, The Parliament of Man: The Past, Present, and Future of the United Nations (Random House, 2006).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Mark Mazower, Governing the World: The History of an Idea (Penguin, 2012).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Ian Tyrrell, True Gardens of the Gods: Californian-Australian Environmental Reform, 1860-1930 (University of California Press, 1999).</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Jonathan Zimmerman, Innocents Abroad: American Teachers in the American Century (Harvard University Press, 2006).   . .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Monday, April 7: Modernization and the Global Cold War</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Nick Cullather, The Hungry World: America’s Cold War Battle against Poverty in Asia (Harvard University Press, 2010).</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*Michael Latham, “Modernization, International History, and the Cold War World,” and Nils Gilman, “Modernization Theory, the Highest State of American Intellectual History,” in David C. Engerman, Nils Gilman, Mark H. Haefele, and Michael E. Latham, eds., Staging Growth: Modernization, Development, and the Global Cold War (University of Massachusetts Press, 2003), pp. 1–22, 47–80.</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*Inderjeet Parmar, Foundations of the American Century: The Ford, Carnegie, and Rockefeller Foundations in the Rise of American Power (Columbia University Press, 2012), ch. 1.</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Supplementary Readings:</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Craig Campbell and Frederik Logevall, America’s Cold War: The Politics of Insecurity (Harvard University Press, 2009).</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Matthew Connelly, Fatal Misconception: The Struggle to Control World Population (Harvard University Press, 2008).</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David Ekbladh, The Great American Mission: Modernization and the Construction of an American World Order (Princeton University Press, 2010).</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A. Escobar, Encountering Development: The Making and Unmaking of the Third World (Princeton University Press, 1995).</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John Lewis Gaddis, Strategies of Containment: A Critical Appraisal of Postwar American National Security Policy (Oxford University Press, 1982).</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John Lewis Gaddis, “The Tragedy of Cold War History,” Foreign Affairs 73 (1994), pp. 142-154.</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John Lewis Gaddis, We Now Know: Rethinking Cold War History (Oxford University Press, 1997).</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Nils Gilman, Mandarins of the Future: Modernization Theory in Cold War America (Johns Hopkins University Press, 2003)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Albert O. Hirschman, “The Rise and Decline of Development Economics,” in Essays on Trespassing: Economics to Politics and Beyond (1981)</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Paul Krugman, “The Fall and Rise of Development Economics,” informal paper, 1994.</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Michael E. Latham, Modernization as Ideology: American Social Science and “Nation Building” in the Kennedy Era (University of North Carolina Press, 2005).</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Michael E. Latham, The Right Kind of Revolution: Modernization, Development, and U.S. Foreign Policy from the Cold War to the Present (Cornell University Press, 2011).</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Melvyn P. Leffler, A Preponderance of Power: National Security, the Truman Administration, and the Cold War (Stanford University Press, 1992).</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Amy Staples, The Birth of Development: How the World Bank, Food and Agriculture Organization, and World Health Organization changed the World, 1945-1965 (Kent State University Press, 2006).</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Odd Arne Westad, The Global Cold War: Third World Interventions and the Making of Our Times (Cambridge University Press, 2005).   . .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Monday, April 28: Globalization</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David Harvey, The Condition of Postmodernity (Blackwell, 1989).</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*Giovanni Arrighi, The Long Twentieth Century: Money, Power, and the Origins of Our Times (Verso, 1994), introduction and ch. 4.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*Arjun Appadurai, Modernity at Large: Cultural Dimensions of Globalization (University of Minnesota Press, 1999), ch. 2.</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*A.G. Hopkins, "The History of Globalization—and the Globalization of History?" in A. G. Hopkins, ed. Globalization in World History (Pimlico, 2002).</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Supplementary Readings:</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Alfred E. Eckes, Jr. and Thomas W. Zeiler, Globalization and the American Century (Cambridge University Press, 2003).</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David Harvey, A Brief History of Neoliberalism (Oxford University Press, 2005).</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F. Jameson and M. Miyoshi (eds.) The Cultures of Globalization (Duke University Press, 1998).</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Greta Krippner, Capitalizing on Crisis: The Political Origins of the Rise of Finance (Harvard University Press, 2012).</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Daniel J. Sargent, “The United States and Globalization in the 1970s,” in Niall Ferguson et al., eds., The Shock of the Global: The 1970s in Perspective (Belknap Press of Harvard University Press, 2010).</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Joseph E. Stiglitz, Globalization and its Discontents (Norton, 2002). </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Immanuel Wallerstein, The Modern World-System, v. 1–4 (University of California Press, 2011).</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---http://krieger.jhu.edu/history/wp-content/uploads/sites/32/2014/01/Transnational-Approaches-to-US-History.pdf</w:t>
      </w: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Speech in Washington Monument Grounds: The German Plot</w:t>
      </w: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Woodrow Wilson   -   June 14, 1917</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know now clearly, as we knew before we ourselves were engaged in the War, that we are not enemies of the German people, and they are not our enemies. They did not originate, or desire, this hideous war, or wish that we should be drawn into it, and we are vaguely conscious that we are fighting their cause, as they will some day see it themselves, as well as our own. They themselves are in the grip of the same sinister power that has stretched its ugly talons out and drawn blood from us.</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War was begun by the military masters of Germany, who have proved themselves to be also the masters of Austria-Hungary. These men never regarded nations as peoples of men, women, and children of like blood and frame as themselves, for whom Governments existed and in whom Governments had their life. They regarded them merely as serviceable organizations, which they could, either by force or intrigue, bend or corrupt to their own purpose. They regarded the smaller States, particularly, and those peoples, who could be overwhelmed by force, as their natural tools and instruments of domination.</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Their purpose had long been avowed. The statesmen of other nations, to whom that purpose was incredible, paid little attention, and regarded what the German professors expounded in their class-rooms and the German writers set forth to the world as the goal of German policy as rather the dream of minds detached from practical affairs and the preposterous private conceptions of Germany's destiny than the actual plans of responsible rulers.</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rulers of Germany knew all the while what concrete plans, what well-advanced intrigue, lay at the back of what professors and writers were saying, and were glad to go forward unmolested, filling the thrones of the Balkan States with German princes, putting German officers at the service of Turkey, developing plans of sedition and rebellion in India and Egypt, and setting their fires in Persia.</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demands made by Austria upon Serbia were a mere single step in the plan which compassed Europe and Asia from Berlin to Bagdad. They hoped that these demands might not arouse Europe, but they meant to press them, whether they did or not. For they thought themselves ready for the final issue of arms. Their plan was to throw a belt of German military power and political control across the very center of Europe and beyond the Mediterranean into the heart of Asia, and Austria-Hungary was to be as much their tool and pawn as Serbia, Bulgaria, Turkey, or the ponderous States of the East. Austria-Hungary, indeed, was to become a part of the Central German Empire, absorbed and dominated by the same forces and influences that originally cemented the German States themselves.</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dream had its heart at Berlin. It could have had its heart nowhere else. It rejected entirely the idea of the solidarity of race. The choice of peoples played no part at all in the contemplated binding together of the racial and political units, which could keep together only by force. And they actually carried the greater part of that amazing plan into execution.</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Look how things stand. Austria, at their mercy, has acted, not upon its own initiative or upon the choice of its own people, but at Berlin's dictation ever since the War began. Its people now desire peace, but they cannot have it until leave is granted from Berlin. The so-called Central Powers are, in fact, but a single Power. Serbia is at its mercy should its hand be but for a moment freed; Bulgaria consented to its will; Rumania is overrun by the Turkish armies, which the Germans trained into serving Germany, and the guns of the German warships lying in the harbor at Constantinople remind the Turkish statesmen every day that they have no choice but to take their orders from Berlin.</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Hamburg to the Persian Gulf the net is spread.</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 it not easy to understand the eagerness for peace that has been manifested by Berlin ever since the snare was set and sprung? "Peace, peace, peace" has been the talk of her Foreign Office for a year or more, not peace upon her own initiative, but upon the initiative of the nations over which she now deems herself to hold the advantage. A little of the talk has been public, but most of it has been private, through all sorts of channels. It has come to me in all sorts of guises, but never with the terms disclosed which the German Government would be willing to accept.</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Government has other valuable pawns in its hands besides those I have mentioned. It still holds a valuable part of France, though with a slowly relaxing grasp, and practically the whole of Belgium. Its armies press close on Russia and overrun Poland. It cannot go farther — it dare not go back. It wishes to close its bargain before it is too late and it has little left to offer for the pound of flesh it will demand. The military masters under whom Germany is bleeding see very clearly to what point fate has brought them: if they fall back or are forced back an inch, their power abroad and at home will fall to pieces. It is their power at home of which they are thinking now more than of their power abroad. It is that power which is trembling under their very feet.</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Deep fear has entered their hearts. They have but one chance to perpetuate their military power, or even their controlling political influence. If they can secure peace now, with the immense advantage still in their hands, they will have justified themselves before the German people. They will have gained by force what they promised to gain by it — an immense expansion of German power and an immense enlargement of German industrial and commercial opportunities. Their prestige will be secure, and with their prestige their political power.</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they fail, their people will thrust them aside. A Government accountable to the people themselves will be set up in Germany, as has been the case in England, the United States, and France — in all great countries of modern times except Germany. If they succeed they are safe, and Germany and the world are undone. If they fail, Germany is saved and the world will be at peace. If they succeed, America will fall within the menace, and we, and all the rest of the world, must remain armed, as they will remain, and must make ready for the next step in their aggression. If they fail, the world may unite for peace and Germany may be of the union.</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Do you not now understand the new intrigue for peace, and why the masters of Germany do not hesitate to use any agency that promises to effect their purpose, the deceit of nations? Their present particular aim is to deceive all those who, throughout the world, stand for the rights of peoples and the self-government of nations, for they see what immense strength the forces of justice and liberalism are gathering out of this war. They are employing Liberals in their enterprises. Let them once succeed, and these men, now their tools, will be ground to powder beneath the weight of the great military Empire; the Revolutionists of Russia will be cut off from all succour and the coöperation of Western Europe, and a counter-revolution will be fostered and supported; Germany herself will lose her chance of freedom, and all Europe will arm for the next final struggle.</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sinister intrigue is being no less actively conducted in this country than in Russia and in every country of Europe into which the agents and dupes of the Imperial German Government can get access. That Government has many spokesmen here, in places both high and low. They have learned discretion; they keep within the law. It is opinion they utter now, not sedition. They proclaim the liberal purposes of their masters, and they declare that this is a foreign war, which can touch America with no danger either to her lands or institutions. They set England at the center of the stage, and talk of her ambition to assert her economic dominion throughout the world. They appeal to our ancient tradition of isolation, and seek to undermine the Government with false professions of loyalty to its principles.</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they will make no headway. Falsehood betrays them in every accent. These facts are patent to all the world, and nowhere more plainly than in the United States, where we are accustomed to deal with facts, not sophistries; and the great fact that stands out above all the rest is that this is a peoples' war for freedom, justice and self-government among all the nations of the world, a war to make the world safe for the peoples who live upon it, the German people included, and that with us rests the choice to break through all these hypocrisies, the patent cheats and masks of brute force, and help set the world free, or else stand aside and let it be dominated through sheer weight of arms and the arbitrary choices of the self-constituted masters by the nation which can maintain the biggest armies, the most irresistible armaments, a power to which the world has afforded no parallel, in the face of which political freedom must wither and perish.</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us there was but one choice. We have made it, and woe be to that man, or that group of men, that seeks to stand in our way in this day of high resolution, when every principle we hold dearest is to be vindicated and made secure for the salvation of the nation. We are ready to plead at the bar of history, and our flag shall wear a new luster. Once more we shall make good with our lives and fortunes the great faith to which we are born, and a new glory shall shine in the face of our people.</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http://www.presidency.ucsb.edu/ws/?pid=65400</w:t>
      </w: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Konig, the head of the Hamburg- American secret service, who was active in passport frauds, who induced Gustave Stahl to perjure himself and declare the Lusitania armed, and who plotted the destruction of the Welland Canal, has, in his work as a spy, passed under 13 aliases in this country and Canada. As for the corruption of public opinion, it has proceeded both openly and under cover. Dr. Demburg was the official missionary, and he and others went up and down the land.</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Newspapers have been started with German money and others have received secret subsidies from the German Government. A check for $5,000 was discovered which Count von Bemstorff had sent to Mr. Marcus Braun, editor of Fair Play.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a letter was discovered which Mr. George Sylvester Viereck, editor of the Fatherland, had sent to Privy Councilor Albert, the German agent, arranging for a monthly subsidy of $1,750, to be delivered to him through the hands of intermediaries — women whose names he abbreviates "to prevent any possible inquiry." There is a record of $3,000 paid through the German Embassy to finance the lecture tour of Miss Ray Beveridge, an American artist, who was further to be supplied with German war pictures.</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Efforts were made by German sympathizers to get control of one at least of the great New York dailies, and about half a dozen weeklies have been devoted to German propaganda and little else. Most important of all, in a telegram, dated January 22, 1917, but just made public by the Secretary of State, Von Bernstorff asked his Government for authority to expend $50,000 "in order, as on former occasions, to influence Congress  through the organization you know of."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for conspiracy in our midst, it has taken various forms under the fostering and munificent hand of Capts. Boy-Ed, Von Papen, Von Rintelen, Tauscher, and Von Igel, all directly connected with the German Government. There ia now in the possession of the United States Government a check made out to Konig and signed by Von Papen, identified by number in a secret report of the German bureau of investigation as being used to procure $150 for the payment of a bomb maker who was to plant explosives disguised as coal in the bunkers of the merchant vessels clearing from the port of New York. Tauscher, agent for Krvipps, furnished supplies and equipment; Boy-Ed, Dr. Buenz, the German ex-minister to Mexico, the German consulate at San Francisco, and officials of the Hamburg-American and North German Lloyd steamship lines, evaded customs regulations and coaled and victualed German raiders at sea; Von Papen and Von Igel supervised the making of the incendiary bombs on the Friedrich der Grosse, then in New York Harbor, and stowed them away on outgoing ships; Von Pdntelen financed Iabor's National Peace Council, which tried to corrupt legislators and labor leaders.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Through John Devoy, an old anti-British agitator in New York City, relations were maintained with the Irish revolutionaries and money paid to Sir Roger Casement, since executed in London for treason. This is shown by certain of the Von Igel papers. In others there is the implication that the German diplomatists in America were involved in the Separatist movement in the Province of Quebec. The German agents spent $600,000 on Huerta's abortive attempt in this country to start a revolution in Mexico (1915). For the whole subject see files of Neiv York World and New York Times Index under " German and Austro-Hungarian conspirators," "German plots, etc., for 1914-1917," and Congressional Record, April 5, 1917, pp. 192, 193.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have sought to destroy our industries by bringing about strikes and inducing men to quit work. Labor's National Peace Council attempted to bring about a strike among 23,000 longshoremen (Gompers's statement, Neiv York Times, Sept. 14, 1915), and that was not the only attempt. Ambassador Dumba and Consul General von Nuber ran advertisements in  various papers calling upon all loyal Austrians to quit work in mimitions factories. German official documents, seized in Capt. von Igel's ofiice, present as an argument against Austro-Hungary's cutting off the subsidy to a pretended employment bureau, which was in reality a branch of  the German Secret Service, that this "Liebau Biireau" had been highly successful in fomenting strikes and disturbances at munition factories. (Cf. letter of Mar. 24, 1916, to Ambassador von Bemstorff.) Dximba's letter, reporting his plans to bring about disturbances in the Bethlehem Steel Works, was seized by the British among the belongings of Mr. Archibald, an American correspondent, and Dumba's recall was thereupon demanded by our Department of State.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Germans have sought to arrest our commerce, not by submarines alone, but by blowing up ships in harbor and at sea. They have put bombs in coal bunkers and tied them to rudder posts. Models of Robert Fay's contrivances for this latter piupose were exhibited at his trial, and he spared passenger ships only because twin screws baffled him. By Fay's own confession and that of his partner the money for this combination of treachery and murder came from the German secret police. (For Von Papen and Von Igel's bomb making on the Friedrich der Grosse see above.) The extraordinary number of explosions in munition factories so far exceeds the normal number even in this dangerous industry as to justify suspicion and investigation.    . .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note sent by Dr. Alfred Zimmermann, foreign secretary, to Von Eckhart, German minister to Mexico, requesting him to seek an alliance against us with Mexico and Japan:</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Mexico was to have Texas, New Mexico, and Arizona. It was written January 19, on the eve of the Germans' unlimited submarine warfare, and while we were at peace with Germany.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minister was to act as soon as it was "certain that there will be an outbreak of war with the United States." The note was intercepted, and when in March its contents were made known  it set popular feeling aflame and more than any other act of aggression  on the part of Germany aroused the American public.    . .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Efforts [were] made by the Government to convince the people that the war was strictly a defensive one. "Envious people everywhere are compelling us to our just defense," said the Kaiser on July 31; and again, "The sword is being forced into our hand." By such speeches and by the circulation of a report (since acknowledged by high German officials to be false) that France had already attacked Germany, the German people were aroused.</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the invasion of Belgium was represented to be a defensive measure, and it was declared by the Chancellor in the Reichstag and by everybody else in authority to have been due to certain knowledge that France herself was about to invade Belgium. Lieut. Gen. Freytag-Loringhoven, Chief of the Supplementary Staff, has recently made it clear that this was not true. He admits that the initial success of the German arms was largely owing to the French expecting the German advance elsewhere. (N. Y. Times, Aug. 2, 1917.)   . .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present German Empire and its constitution was formed not by the people but by the 25 kings and princes of Germany, headed by the King of Prussia. Bismai'ck wrote the constitution and regarded it as adopted when the German princes and kings approved it. It was never submitted to a vote of the people. It is clear at once how perfect this constitution is. It is perfect from the standpoint of the kings and princes, especially of the Kaiser, who, as King of Prussia, controls two-thirds of the people and two-thirds of the land of Germany.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Bismarck did not choose to leave the people out entirely; thus the German constitution provides for an elected house, called the Reichstag. It is chosen by manhood suffrage of those over 25 years of age. The districts established in 1871 are unchanged to-day. This means that the large cities which have grown up since 1871 and contain the laboring vote are but partially represented, and the German Government dares not change these districts, because it would mean an increased vote for the laboring classes and the Socialist Party. It need not be so fearful, for, under the constitution, the popular house is merely a great debating club, which may talk and go through the forms of considering legislation, but is not a real factor in the German Government. It is little more than a convenient piece of political scene-painting, and the room where it meets has been well called by one of the members the "Hall of Echoes."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real power in the German Parliament lies with the Bundesrat, a body of 61 members, which meets in secret. It is composed of diplomats appointed by the kings and princes of Germany, Prussia having the largest number. These ambassadors vote at the direction of their sovereigns, and as the King  of Prussia is the most powerful and appoints the chancellor, who presides over the Bundesrat, he has enough votes to veto any measure. The Bundesrat is not only safe from democracy but it is the body through which the Emperor, as King of Prussia, can really control Germany. Here are originated almost all bills, and all legislation must be approved by the Bundesrat; this means, in other words, by Prussia and its King, the present Emperor William II. It is thus that Germany has been Prussianized in its government and filled with the political ambitions and military ideals of a State whose best models of a ruler are still, in the twentieth century, Frederick the Great and his brutal father.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the Emperor who declares war and makes peace, nominally with the approval of the Bundesrat. Even this body is not consulted if the war is defensive. Whether a war is defensive or offensive is a matter for William II to determine, and he so determined when he declared the present war and only officially informed the Bundesrat of the fact three days later. It is this Government, comprised of a group of kings and princes, led by the King of Prussia, that the pro-Germans praise as the most democratic in the world. What they mean is that for the sake of keeping the people quiet and submissive to their military aims the autocracy grants them old-age pensions and clean streets, and in return expects them to send their sons to any war and to commit any act for the sake of a State where irresponsible medieval-minded sovereigns still believe in this twentieth century that they rule by divine grace and are accountable only to God. But the god that they have in mind is a war god whom they have created in their own image.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pictures but half of what we mean by autocracy, for it leaves out of account the government of the most powerful State in Germany, that of Prussia itself. When one knows that in Prussia the voters are divided into three classes according to their wealth, and one nobleman's or rich man's vote may be equal to that of 10,000 laborers, and that actually 4 per cent of the wealthy people count for as much as 82 per cent of the laboring and poor class, some may think that this is efficient government; but the only people they can get to agree wi.th them are the Prussian nobles, landowners, and capitalists. This explains why the German people have no real power in Germany and why two-thirds of them in Prussia have the merest shadow of voting rights which they must exercise by word of mouth in the presence of their employer or landowner. See Hazen, The German Government, published and distributed by the Committee on Public Information.   . .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this goes to press, the dispatches from Petrograd carry new evidence from the secret Russian archives of the Kaiser's intrigues against small states. In telegrams signed "Nicky" and "Willy," the Czar and the German Emperor are shown to have been arranging in 1905 for a secret alliance endangering Denmark. In case of war with England, Denmark was to be treated as Belgium has been in the present war, except that a preliminary effort was to be made to make the Danes see and accept the inevitable.</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German Emperor telegraphed on August 2, 1905, from Copenhagen, where he had gone to break ground for the nefarious scheme:   "   . . .   A number of persons of influence have already come to the conviction that in case of war and impending attack on [the] Baltic from [a] foreign power [the] Danes expect   . . .  that Russia and Germany will immediately take steps to safeguard thieir interests by laying hands on Denmark and occupying it   . . .   The Danes are slowly resigning themselves to this alternative and making up their minds accordingly. This being exactly what you wished and hoped for, I thought it better not to touch on the subject with Danes and refrained from making any allusions.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bettfer to let the idea develop and ripen in their heads and let them draw final conclusions themselves, so that they will of their own accord be moved to lean upon us and fall in line with our two countries. Tout vient a qui sait attendre. ['All things come to him who waits.']  ***** "Willy."   . .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June 28, 1914, there took place at Serajevo, Bosnia (Austrian territory since 1909), the assassination of Archduke Ferdinand and his wife. Serbians undoubtedly aided and abetted the criminals. The Austrian Government asserts that it traced the source of the deed to Serbian territory, and even, it maintains, to government and coiirt circles in Belgrade, the Serbian capital.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nearly a month nothing occurred. Then, on July 23, almost without warning, Austria-Hungary made known her demands upon Serbia. Their main purpose seemed to be the complete extirpation of the Pan-Serbian movement and the punishment of all Serbians implicated in the crime at Serajevo. The demands involved a practical denial of the sovereignty of Serbia. A reply was, furthermore, demanded by 6 o'clock on July 25, or within exactly 48 hours.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Serbia made a reply covering every point in the demands. It yielded to most of the demands and showed an extremely conciliatory spirit. On the question of allowing Austrian officers to enter Serbian territory in order to take part in the inquiries or judicial proceedings concerning the Serajevo murders, the Serbian Government declared that it would "admit such collaboration as agrees with the principle of international law, with criminal procedure, and with good neighborly relations." It added finally that if the Austro-Hungarian Government were "not satisfied mth this reply, the Serbian Government, considering that it is not to the common interest to take precipitate action in the solution of this question, is ready, as always, to accept a pacific understanding, either by referring this question to the decision of the international tribunal at the Hague, or to the Great Powers which took part in the drawing up of the declaration made by the Serbian Government on the 18/31 of March, 1909."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number of the Powers pleaded the Serbian cause, asking at least an extension of the time limit or a delay in making war, but the Austrian Government would abate not a jot or tittle of its demrnds. Its unyielding attitude and brusqueness startled the world, and have justified the suspicion that Austria-Hungary did not desire a satisfactory reply. </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if to lend color to this suspicion it has since come to light that in August, 1913, Austria-Hungary had already formed the plan to attack Serbia. Italy, though at that time in alliance with Germany and Austria-Hungary, refused to support such an aggression. (Declaration of Signer Giolitti to the Italian Parliament, Dec. 5, 1914.)   . . .</w:t>
      </w:r>
    </w:p>
    <w:p w:rsidR="004C0ACB" w:rsidRDefault="004C0ACB">
      <w:pPr>
        <w:widowControl w:val="0"/>
        <w:autoSpaceDE w:val="0"/>
        <w:autoSpaceDN w:val="0"/>
        <w:adjustRightInd w:val="0"/>
        <w:spacing w:after="0" w:line="240" w:lineRule="auto"/>
        <w:rPr>
          <w:rFonts w:ascii="Arial" w:hAnsi="Arial" w:cs="Arial"/>
          <w:sz w:val="16"/>
          <w:szCs w:val="16"/>
        </w:rPr>
      </w:pPr>
    </w:p>
    <w:p w:rsidR="004C0ACB" w:rsidRDefault="004C0AC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https://archive.org/stream/presidentsflagda00wils/presidentsflagda00wils_djvu.txt</w:t>
      </w: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Arial" w:hAnsi="Arial" w:cs="Arial"/>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20"/>
          <w:szCs w:val="20"/>
        </w:rPr>
      </w:pPr>
    </w:p>
    <w:p w:rsidR="004C0ACB" w:rsidRDefault="004C0ACB">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4C0ACB" w:rsidRDefault="004C0ACB">
      <w:pPr>
        <w:widowControl w:val="0"/>
        <w:autoSpaceDE w:val="0"/>
        <w:autoSpaceDN w:val="0"/>
        <w:adjustRightInd w:val="0"/>
        <w:spacing w:after="0" w:line="240" w:lineRule="auto"/>
        <w:rPr>
          <w:rFonts w:ascii="Times New Roman" w:hAnsi="Times New Roman" w:cs="Times New Roman"/>
          <w:sz w:val="34"/>
          <w:szCs w:val="34"/>
        </w:rPr>
      </w:pPr>
    </w:p>
    <w:p w:rsidR="004C0ACB" w:rsidRDefault="004C0ACB">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4C0ACB" w:rsidSect="004C0ACB">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ACB" w:rsidRDefault="004C0ACB" w:rsidP="004C0ACB">
      <w:pPr>
        <w:spacing w:after="0" w:line="240" w:lineRule="auto"/>
      </w:pPr>
      <w:r>
        <w:separator/>
      </w:r>
    </w:p>
  </w:endnote>
  <w:endnote w:type="continuationSeparator" w:id="0">
    <w:p w:rsidR="004C0ACB" w:rsidRDefault="004C0ACB" w:rsidP="004C0A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ACB" w:rsidRDefault="004C0AC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ACB" w:rsidRDefault="004C0ACB" w:rsidP="004C0ACB">
      <w:pPr>
        <w:spacing w:after="0" w:line="240" w:lineRule="auto"/>
      </w:pPr>
      <w:r>
        <w:separator/>
      </w:r>
    </w:p>
  </w:footnote>
  <w:footnote w:type="continuationSeparator" w:id="0">
    <w:p w:rsidR="004C0ACB" w:rsidRDefault="004C0ACB" w:rsidP="004C0ACB">
      <w:pPr>
        <w:spacing w:after="0" w:line="240" w:lineRule="auto"/>
      </w:pPr>
      <w:r>
        <w:continuationSeparator/>
      </w:r>
    </w:p>
  </w:footnote>
  <w:footnote w:id="1">
    <w:p w:rsidR="004C0ACB" w:rsidRDefault="004C0ACB">
      <w:pPr>
        <w:widowControl w:val="0"/>
        <w:autoSpaceDE w:val="0"/>
        <w:autoSpaceDN w:val="0"/>
        <w:adjustRightInd w:val="0"/>
        <w:spacing w:after="0" w:line="240" w:lineRule="auto"/>
        <w:ind w:left="1008" w:right="576"/>
        <w:rPr>
          <w:rFonts w:ascii="Times New Roman" w:hAnsi="Times New Roman" w:cs="Times New Roman"/>
          <w:sz w:val="24"/>
          <w:szCs w:val="24"/>
        </w:rPr>
      </w:pPr>
      <w:r w:rsidRPr="00E12DFC">
        <w:rPr>
          <w:rStyle w:val="FootnoteReference"/>
        </w:rPr>
        <w:footnoteRef/>
      </w:r>
      <w:r>
        <w:rPr>
          <w:rFonts w:ascii="Times New Roman" w:hAnsi="Times New Roman" w:cs="Times New Roman"/>
          <w:sz w:val="24"/>
          <w:szCs w:val="24"/>
        </w:rPr>
        <w:t xml:space="preserve"> The phrase “permutation isomorphic” is often used to mean the same thing as this.</w:t>
      </w:r>
    </w:p>
    <w:p w:rsidR="004C0ACB" w:rsidRDefault="004C0ACB">
      <w:pPr>
        <w:widowControl w:val="0"/>
        <w:autoSpaceDE w:val="0"/>
        <w:autoSpaceDN w:val="0"/>
        <w:adjustRightInd w:val="0"/>
        <w:spacing w:after="0" w:line="240" w:lineRule="auto"/>
        <w:ind w:left="1008" w:right="576"/>
        <w:rPr>
          <w:rFonts w:ascii="Times New Roman" w:hAnsi="Times New Roman" w:cs="Times New Roman"/>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ACB" w:rsidRDefault="004C0AC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0ACB"/>
    <w:rsid w:val="004C0ACB"/>
    <w:rsid w:val="00E12D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E12DFC"/>
    <w:rPr>
      <w:vertAlign w:val="superscript"/>
    </w:rPr>
  </w:style>
  <w:style w:type="character" w:styleId="FootnoteReference">
    <w:name w:val="footnote reference"/>
    <w:basedOn w:val="DefaultParagraphFont"/>
    <w:uiPriority w:val="99"/>
    <w:semiHidden/>
    <w:unhideWhenUsed/>
    <w:rsid w:val="00E12DFC"/>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9802</Words>
  <Characters>55873</Characters>
  <Application>Microsoft Office Word</Application>
  <DocSecurity>4</DocSecurity>
  <Lines>465</Lines>
  <Paragraphs>131</Paragraphs>
  <ScaleCrop>false</ScaleCrop>
  <Company/>
  <LinksUpToDate>false</LinksUpToDate>
  <CharactersWithSpaces>65544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2016-07-09T17:37:00Z</dcterms:created>
  <dcterms:modified xsi:type="dcterms:W3CDTF">2016-07-09T17:37:00Z</dcterms:modified>
</cp:coreProperties>
</file>